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sz w:val="28"/>
          <w:szCs w:val="28"/>
        </w:rPr>
      </w:pPr>
      <w:r>
        <w:rPr>
          <w:b/>
          <w:sz w:val="28"/>
          <w:szCs w:val="28"/>
        </w:rPr>
        <w:t xml:space="preserve">ESPECIALIZACION EN DERECHO FINANCIERO CON ENFASIS EN DERECHO </w:t>
      </w:r>
    </w:p>
    <w:p>
      <w:pPr>
        <w:pStyle w:val="Normal"/>
        <w:jc w:val="both"/>
        <w:rPr>
          <w:b/>
          <w:b/>
          <w:sz w:val="28"/>
          <w:szCs w:val="28"/>
        </w:rPr>
      </w:pPr>
      <w:r>
        <w:rPr>
          <w:b/>
          <w:sz w:val="28"/>
          <w:szCs w:val="28"/>
        </w:rPr>
        <w:t>TRIBUTARIO</w:t>
      </w:r>
    </w:p>
    <w:p>
      <w:pPr>
        <w:pStyle w:val="Normal"/>
        <w:jc w:val="both"/>
        <w:rPr>
          <w:b/>
          <w:b/>
          <w:sz w:val="28"/>
          <w:szCs w:val="28"/>
        </w:rPr>
      </w:pPr>
      <w:r>
        <w:rPr>
          <w:b/>
          <w:sz w:val="28"/>
          <w:szCs w:val="28"/>
        </w:rPr>
      </w:r>
    </w:p>
    <w:p>
      <w:pPr>
        <w:pStyle w:val="Normal"/>
        <w:jc w:val="both"/>
        <w:rPr>
          <w:b/>
          <w:b/>
          <w:sz w:val="28"/>
          <w:szCs w:val="28"/>
        </w:rPr>
      </w:pPr>
      <w:r>
        <w:rPr>
          <w:b/>
          <w:sz w:val="28"/>
          <w:szCs w:val="28"/>
        </w:rPr>
        <w:t>TERCER TRIMESTRE</w:t>
      </w:r>
    </w:p>
    <w:p>
      <w:pPr>
        <w:pStyle w:val="Normal"/>
        <w:jc w:val="both"/>
        <w:rPr>
          <w:b/>
          <w:b/>
          <w:sz w:val="28"/>
          <w:szCs w:val="28"/>
        </w:rPr>
      </w:pPr>
      <w:r>
        <w:rPr>
          <w:b/>
          <w:sz w:val="28"/>
          <w:szCs w:val="28"/>
        </w:rPr>
      </w:r>
    </w:p>
    <w:p>
      <w:pPr>
        <w:pStyle w:val="Normal"/>
        <w:jc w:val="both"/>
        <w:rPr>
          <w:b/>
          <w:b/>
          <w:sz w:val="28"/>
          <w:szCs w:val="28"/>
        </w:rPr>
      </w:pPr>
      <w:r>
        <w:rPr>
          <w:b/>
          <w:sz w:val="28"/>
          <w:szCs w:val="28"/>
        </w:rPr>
        <w:t xml:space="preserve">  </w:t>
      </w:r>
      <w:r>
        <w:rPr>
          <w:b/>
          <w:sz w:val="28"/>
          <w:szCs w:val="28"/>
        </w:rPr>
        <w:t>CURSO                   DERECHO FISCAL INTERNACIONAL</w:t>
      </w:r>
    </w:p>
    <w:p>
      <w:pPr>
        <w:pStyle w:val="Normal"/>
        <w:jc w:val="both"/>
        <w:rPr>
          <w:sz w:val="28"/>
          <w:szCs w:val="28"/>
        </w:rPr>
      </w:pPr>
      <w:r>
        <w:rPr>
          <w:sz w:val="28"/>
          <w:szCs w:val="28"/>
        </w:rPr>
        <w:t xml:space="preserve">                                  </w:t>
      </w:r>
      <w:r>
        <w:rPr>
          <w:sz w:val="28"/>
          <w:szCs w:val="28"/>
        </w:rPr>
        <w:t>40 HORAS. Comienzo: 20 de Julio de 2017</w:t>
      </w:r>
    </w:p>
    <w:p>
      <w:pPr>
        <w:pStyle w:val="Normal"/>
        <w:jc w:val="both"/>
        <w:rPr>
          <w:sz w:val="28"/>
          <w:szCs w:val="28"/>
        </w:rPr>
      </w:pPr>
      <w:r>
        <w:rPr>
          <w:sz w:val="28"/>
          <w:szCs w:val="28"/>
        </w:rPr>
        <w:t xml:space="preserve">                                  </w:t>
      </w:r>
      <w:r>
        <w:rPr>
          <w:sz w:val="28"/>
          <w:szCs w:val="28"/>
        </w:rPr>
        <w:t xml:space="preserve">Horarios: martes y jueves   : 18 a 20 horas. </w:t>
      </w:r>
    </w:p>
    <w:p>
      <w:pPr>
        <w:pStyle w:val="Normal"/>
        <w:jc w:val="both"/>
        <w:rPr>
          <w:sz w:val="28"/>
          <w:szCs w:val="28"/>
        </w:rPr>
      </w:pPr>
      <w:r>
        <w:rPr>
          <w:sz w:val="28"/>
          <w:szCs w:val="28"/>
        </w:rPr>
        <w:t xml:space="preserve">  </w:t>
      </w:r>
    </w:p>
    <w:p>
      <w:pPr>
        <w:pStyle w:val="Normal"/>
        <w:jc w:val="both"/>
        <w:rPr>
          <w:b/>
          <w:b/>
          <w:sz w:val="28"/>
          <w:szCs w:val="28"/>
        </w:rPr>
      </w:pPr>
      <w:r>
        <w:rPr>
          <w:b/>
          <w:sz w:val="28"/>
          <w:szCs w:val="28"/>
        </w:rPr>
        <w:t>PROGRAMA</w:t>
      </w:r>
    </w:p>
    <w:p>
      <w:pPr>
        <w:pStyle w:val="Normal"/>
        <w:jc w:val="both"/>
        <w:rPr>
          <w:sz w:val="28"/>
          <w:szCs w:val="28"/>
        </w:rPr>
      </w:pPr>
      <w:r>
        <w:rPr>
          <w:b/>
          <w:sz w:val="28"/>
          <w:szCs w:val="28"/>
        </w:rPr>
        <w:t>1 .</w:t>
      </w:r>
      <w:r>
        <w:rPr>
          <w:sz w:val="28"/>
          <w:szCs w:val="28"/>
        </w:rPr>
        <w:t xml:space="preserve">Derecho Fiscal Internacional - </w:t>
      </w:r>
      <w:r>
        <w:rPr>
          <w:b/>
          <w:sz w:val="28"/>
          <w:szCs w:val="28"/>
        </w:rPr>
        <w:t>2 horas</w:t>
      </w:r>
    </w:p>
    <w:p>
      <w:pPr>
        <w:pStyle w:val="Normal"/>
        <w:jc w:val="both"/>
        <w:rPr>
          <w:sz w:val="28"/>
          <w:szCs w:val="28"/>
        </w:rPr>
      </w:pPr>
      <w:r>
        <w:rPr>
          <w:sz w:val="28"/>
          <w:szCs w:val="28"/>
        </w:rPr>
        <w:t>Concepto.</w:t>
      </w:r>
    </w:p>
    <w:p>
      <w:pPr>
        <w:pStyle w:val="Normal"/>
        <w:jc w:val="both"/>
        <w:rPr>
          <w:sz w:val="28"/>
          <w:szCs w:val="28"/>
        </w:rPr>
      </w:pPr>
      <w:r>
        <w:rPr>
          <w:sz w:val="28"/>
          <w:szCs w:val="28"/>
        </w:rPr>
        <w:t>Evolución desde 1963 a la fecha. Objetivos.</w:t>
      </w:r>
    </w:p>
    <w:p>
      <w:pPr>
        <w:pStyle w:val="Normal"/>
        <w:jc w:val="both"/>
        <w:rPr>
          <w:sz w:val="28"/>
          <w:szCs w:val="28"/>
        </w:rPr>
      </w:pPr>
      <w:r>
        <w:rPr>
          <w:sz w:val="28"/>
          <w:szCs w:val="28"/>
        </w:rPr>
        <w:t>Problemas actuales.</w:t>
      </w:r>
    </w:p>
    <w:p>
      <w:pPr>
        <w:pStyle w:val="Normal"/>
        <w:jc w:val="both"/>
        <w:rPr>
          <w:sz w:val="28"/>
          <w:szCs w:val="28"/>
          <w:lang w:val="es-ES"/>
        </w:rPr>
      </w:pPr>
      <w:r>
        <w:rPr>
          <w:sz w:val="28"/>
          <w:szCs w:val="28"/>
        </w:rPr>
        <w:t xml:space="preserve">Fuentes: </w:t>
      </w:r>
      <w:r>
        <w:rPr>
          <w:sz w:val="28"/>
          <w:szCs w:val="28"/>
          <w:lang w:val="es-ES"/>
        </w:rPr>
        <w:t>Softlaw y hardlaw. Los estándares internacionales.</w:t>
      </w:r>
    </w:p>
    <w:p>
      <w:pPr>
        <w:pStyle w:val="Normal"/>
        <w:jc w:val="both"/>
        <w:rPr>
          <w:sz w:val="28"/>
          <w:szCs w:val="28"/>
          <w:lang w:val="es-ES"/>
        </w:rPr>
      </w:pPr>
      <w:r>
        <w:rPr>
          <w:sz w:val="28"/>
          <w:szCs w:val="28"/>
          <w:lang w:val="es-ES"/>
        </w:rPr>
      </w:r>
    </w:p>
    <w:p>
      <w:pPr>
        <w:pStyle w:val="Normal"/>
        <w:jc w:val="both"/>
        <w:rPr>
          <w:sz w:val="28"/>
          <w:szCs w:val="28"/>
          <w:lang w:val="es-ES"/>
        </w:rPr>
      </w:pPr>
      <w:r>
        <w:rPr>
          <w:b/>
          <w:sz w:val="28"/>
          <w:szCs w:val="28"/>
          <w:lang w:val="es-ES"/>
        </w:rPr>
        <w:t>2.</w:t>
      </w:r>
      <w:r>
        <w:rPr>
          <w:sz w:val="28"/>
          <w:szCs w:val="28"/>
          <w:lang w:val="es-ES"/>
        </w:rPr>
        <w:t>- Principios de atribución de  potestad tributaria -</w:t>
      </w:r>
      <w:r>
        <w:rPr>
          <w:b/>
          <w:sz w:val="28"/>
          <w:szCs w:val="28"/>
          <w:lang w:val="es-ES"/>
        </w:rPr>
        <w:t xml:space="preserve"> 2 horas</w:t>
      </w:r>
    </w:p>
    <w:p>
      <w:pPr>
        <w:pStyle w:val="Normal"/>
        <w:jc w:val="both"/>
        <w:rPr>
          <w:sz w:val="28"/>
          <w:szCs w:val="28"/>
          <w:lang w:val="es-ES"/>
        </w:rPr>
      </w:pPr>
      <w:r>
        <w:rPr>
          <w:sz w:val="28"/>
          <w:szCs w:val="28"/>
          <w:lang w:val="es-ES"/>
        </w:rPr>
        <w:t>Fuente</w:t>
      </w:r>
    </w:p>
    <w:p>
      <w:pPr>
        <w:pStyle w:val="Normal"/>
        <w:jc w:val="both"/>
        <w:rPr>
          <w:sz w:val="28"/>
          <w:szCs w:val="28"/>
          <w:lang w:val="es-ES"/>
        </w:rPr>
      </w:pPr>
      <w:r>
        <w:rPr>
          <w:sz w:val="28"/>
          <w:szCs w:val="28"/>
          <w:lang w:val="es-ES"/>
        </w:rPr>
        <w:t>Residencia</w:t>
      </w:r>
    </w:p>
    <w:p>
      <w:pPr>
        <w:pStyle w:val="Normal"/>
        <w:jc w:val="both"/>
        <w:rPr>
          <w:sz w:val="28"/>
          <w:szCs w:val="28"/>
          <w:lang w:val="es-ES"/>
        </w:rPr>
      </w:pPr>
      <w:r>
        <w:rPr>
          <w:sz w:val="28"/>
          <w:szCs w:val="28"/>
          <w:lang w:val="es-ES"/>
        </w:rPr>
        <w:t>Establecimiento permanente</w:t>
      </w:r>
    </w:p>
    <w:p>
      <w:pPr>
        <w:pStyle w:val="Normal"/>
        <w:jc w:val="both"/>
        <w:rPr>
          <w:sz w:val="28"/>
          <w:szCs w:val="28"/>
          <w:lang w:val="es-ES"/>
        </w:rPr>
      </w:pPr>
      <w:r>
        <w:rPr>
          <w:sz w:val="28"/>
          <w:szCs w:val="28"/>
          <w:lang w:val="es-ES"/>
        </w:rPr>
        <w:t>Ventajas e inconvenientes. Estado actual de  situación. Problemas actuales</w:t>
      </w:r>
    </w:p>
    <w:p>
      <w:pPr>
        <w:pStyle w:val="Normal"/>
        <w:jc w:val="both"/>
        <w:rPr>
          <w:sz w:val="28"/>
          <w:szCs w:val="28"/>
          <w:lang w:val="es-ES"/>
        </w:rPr>
      </w:pPr>
      <w:r>
        <w:rPr>
          <w:sz w:val="28"/>
          <w:szCs w:val="28"/>
          <w:lang w:val="es-ES"/>
        </w:rPr>
        <w:t xml:space="preserve">Planteos BEPS </w:t>
      </w:r>
    </w:p>
    <w:p>
      <w:pPr>
        <w:pStyle w:val="Normal"/>
        <w:jc w:val="both"/>
        <w:rPr>
          <w:sz w:val="28"/>
          <w:szCs w:val="28"/>
          <w:lang w:val="es-ES"/>
        </w:rPr>
      </w:pPr>
      <w:r>
        <w:rPr>
          <w:sz w:val="28"/>
          <w:szCs w:val="28"/>
          <w:lang w:val="es-ES"/>
        </w:rPr>
      </w:r>
    </w:p>
    <w:p>
      <w:pPr>
        <w:pStyle w:val="Normal"/>
        <w:jc w:val="both"/>
        <w:rPr>
          <w:b/>
          <w:b/>
          <w:sz w:val="28"/>
          <w:szCs w:val="28"/>
        </w:rPr>
      </w:pPr>
      <w:r>
        <w:rPr>
          <w:b/>
          <w:sz w:val="28"/>
          <w:szCs w:val="28"/>
          <w:lang w:val="es-ES"/>
        </w:rPr>
        <w:t>3.</w:t>
      </w:r>
      <w:r>
        <w:rPr>
          <w:sz w:val="28"/>
          <w:szCs w:val="28"/>
          <w:lang w:val="es-ES"/>
        </w:rPr>
        <w:t>-</w:t>
      </w:r>
      <w:r>
        <w:rPr>
          <w:sz w:val="28"/>
          <w:szCs w:val="28"/>
        </w:rPr>
        <w:t xml:space="preserve"> La doble imposición internacional - </w:t>
      </w:r>
      <w:r>
        <w:rPr>
          <w:b/>
          <w:sz w:val="28"/>
          <w:szCs w:val="28"/>
        </w:rPr>
        <w:t>2 horas</w:t>
      </w:r>
    </w:p>
    <w:p>
      <w:pPr>
        <w:pStyle w:val="Normal"/>
        <w:jc w:val="both"/>
        <w:rPr>
          <w:sz w:val="28"/>
          <w:szCs w:val="28"/>
        </w:rPr>
      </w:pPr>
      <w:r>
        <w:rPr>
          <w:sz w:val="28"/>
          <w:szCs w:val="28"/>
        </w:rPr>
        <w:t xml:space="preserve"> </w:t>
      </w:r>
      <w:r>
        <w:rPr>
          <w:sz w:val="28"/>
          <w:szCs w:val="28"/>
        </w:rPr>
        <w:t xml:space="preserve">Concepto, origen </w:t>
      </w:r>
    </w:p>
    <w:p>
      <w:pPr>
        <w:pStyle w:val="Normal"/>
        <w:jc w:val="both"/>
        <w:rPr>
          <w:sz w:val="28"/>
          <w:szCs w:val="28"/>
        </w:rPr>
      </w:pPr>
      <w:r>
        <w:rPr>
          <w:sz w:val="28"/>
          <w:szCs w:val="28"/>
        </w:rPr>
        <w:t>Mecanismos para evitar la doble imposición.: taxcredit,  taxsparing, taxdeferral. Tratados</w:t>
      </w:r>
    </w:p>
    <w:p>
      <w:pPr>
        <w:pStyle w:val="Normal"/>
        <w:jc w:val="both"/>
        <w:rPr>
          <w:sz w:val="28"/>
          <w:szCs w:val="28"/>
        </w:rPr>
      </w:pPr>
      <w:r>
        <w:rPr>
          <w:sz w:val="28"/>
          <w:szCs w:val="28"/>
        </w:rPr>
      </w:r>
    </w:p>
    <w:p>
      <w:pPr>
        <w:pStyle w:val="Normal"/>
        <w:jc w:val="both"/>
        <w:rPr>
          <w:sz w:val="28"/>
          <w:szCs w:val="28"/>
          <w:lang w:val="es-ES"/>
        </w:rPr>
      </w:pPr>
      <w:r>
        <w:rPr>
          <w:b/>
          <w:sz w:val="28"/>
          <w:szCs w:val="28"/>
          <w:lang w:val="es-ES"/>
        </w:rPr>
        <w:t>4.</w:t>
      </w:r>
      <w:r>
        <w:rPr>
          <w:sz w:val="28"/>
          <w:szCs w:val="28"/>
          <w:lang w:val="es-ES"/>
        </w:rPr>
        <w:t xml:space="preserve">- Tratados para evitar la doble imposición - </w:t>
      </w:r>
      <w:r>
        <w:rPr>
          <w:b/>
          <w:sz w:val="28"/>
          <w:szCs w:val="28"/>
          <w:lang w:val="es-ES"/>
        </w:rPr>
        <w:t>2 horas</w:t>
      </w:r>
    </w:p>
    <w:p>
      <w:pPr>
        <w:pStyle w:val="Normal"/>
        <w:jc w:val="both"/>
        <w:rPr>
          <w:sz w:val="28"/>
          <w:szCs w:val="28"/>
          <w:lang w:val="es-ES"/>
        </w:rPr>
      </w:pPr>
      <w:r>
        <w:rPr>
          <w:sz w:val="28"/>
          <w:szCs w:val="28"/>
          <w:lang w:val="es-ES"/>
        </w:rPr>
        <w:t>Modelo OCDE. Evolución.</w:t>
      </w:r>
    </w:p>
    <w:p>
      <w:pPr>
        <w:pStyle w:val="Normal"/>
        <w:jc w:val="both"/>
        <w:rPr>
          <w:sz w:val="28"/>
          <w:szCs w:val="28"/>
          <w:lang w:val="es-ES"/>
        </w:rPr>
      </w:pPr>
      <w:r>
        <w:rPr>
          <w:sz w:val="28"/>
          <w:szCs w:val="28"/>
          <w:lang w:val="es-ES"/>
        </w:rPr>
        <w:t>Modelo ONU.</w:t>
      </w:r>
    </w:p>
    <w:p>
      <w:pPr>
        <w:pStyle w:val="Normal"/>
        <w:jc w:val="both"/>
        <w:rPr>
          <w:sz w:val="28"/>
          <w:szCs w:val="28"/>
          <w:lang w:val="es-ES"/>
        </w:rPr>
      </w:pPr>
      <w:r>
        <w:rPr>
          <w:sz w:val="28"/>
          <w:szCs w:val="28"/>
          <w:lang w:val="es-ES"/>
        </w:rPr>
        <w:t xml:space="preserve">Modelo  CAN </w:t>
      </w:r>
    </w:p>
    <w:p>
      <w:pPr>
        <w:pStyle w:val="Normal"/>
        <w:jc w:val="both"/>
        <w:rPr>
          <w:sz w:val="28"/>
          <w:szCs w:val="28"/>
          <w:lang w:val="es-ES"/>
        </w:rPr>
      </w:pPr>
      <w:r>
        <w:rPr>
          <w:sz w:val="28"/>
          <w:szCs w:val="28"/>
          <w:lang w:val="es-ES"/>
        </w:rPr>
        <w:t>Modelo ILADT.</w:t>
      </w:r>
    </w:p>
    <w:p>
      <w:pPr>
        <w:pStyle w:val="Normal"/>
        <w:jc w:val="both"/>
        <w:rPr>
          <w:sz w:val="28"/>
          <w:szCs w:val="28"/>
        </w:rPr>
      </w:pPr>
      <w:r>
        <w:rPr>
          <w:sz w:val="28"/>
          <w:szCs w:val="28"/>
        </w:rPr>
        <w:t>Propuesta de revisión de los Tratados:   Acción BEPS 15. Tratado multilateral</w:t>
      </w:r>
    </w:p>
    <w:p>
      <w:pPr>
        <w:pStyle w:val="Normal"/>
        <w:jc w:val="both"/>
        <w:rPr>
          <w:sz w:val="28"/>
          <w:szCs w:val="28"/>
        </w:rPr>
      </w:pPr>
      <w:r>
        <w:rPr>
          <w:sz w:val="28"/>
          <w:szCs w:val="28"/>
        </w:rPr>
      </w:r>
    </w:p>
    <w:p>
      <w:pPr>
        <w:pStyle w:val="Normal"/>
        <w:jc w:val="both"/>
        <w:rPr>
          <w:b/>
          <w:b/>
          <w:sz w:val="28"/>
          <w:szCs w:val="28"/>
        </w:rPr>
      </w:pPr>
      <w:r>
        <w:rPr>
          <w:b/>
          <w:sz w:val="28"/>
          <w:szCs w:val="28"/>
        </w:rPr>
        <w:t>5.</w:t>
      </w:r>
      <w:r>
        <w:rPr>
          <w:sz w:val="28"/>
          <w:szCs w:val="28"/>
        </w:rPr>
        <w:t xml:space="preserve"> El Modelo OCDE para evitar la doble Imposición – </w:t>
      </w:r>
      <w:r>
        <w:rPr>
          <w:b/>
          <w:sz w:val="28"/>
          <w:szCs w:val="28"/>
        </w:rPr>
        <w:t>2 Horas</w:t>
      </w:r>
    </w:p>
    <w:p>
      <w:pPr>
        <w:pStyle w:val="Normal"/>
        <w:jc w:val="both"/>
        <w:rPr>
          <w:sz w:val="28"/>
          <w:szCs w:val="28"/>
        </w:rPr>
      </w:pPr>
      <w:r>
        <w:rPr>
          <w:sz w:val="28"/>
          <w:szCs w:val="28"/>
        </w:rPr>
        <w:t>Evolución.</w:t>
      </w:r>
    </w:p>
    <w:p>
      <w:pPr>
        <w:pStyle w:val="Normal"/>
        <w:jc w:val="both"/>
        <w:rPr>
          <w:sz w:val="28"/>
          <w:szCs w:val="28"/>
        </w:rPr>
      </w:pPr>
      <w:r>
        <w:rPr>
          <w:sz w:val="28"/>
          <w:szCs w:val="28"/>
        </w:rPr>
        <w:t>Criterios de  distribución  de la potestad tributaria</w:t>
      </w:r>
    </w:p>
    <w:p>
      <w:pPr>
        <w:pStyle w:val="Normal"/>
        <w:jc w:val="both"/>
        <w:rPr>
          <w:sz w:val="28"/>
          <w:szCs w:val="28"/>
        </w:rPr>
      </w:pPr>
      <w:r>
        <w:rPr>
          <w:sz w:val="28"/>
          <w:szCs w:val="28"/>
        </w:rPr>
        <w:t>Los comentarios alModelo: su trascendencia</w:t>
      </w:r>
    </w:p>
    <w:p>
      <w:pPr>
        <w:pStyle w:val="Normal"/>
        <w:jc w:val="both"/>
        <w:rPr>
          <w:sz w:val="28"/>
          <w:szCs w:val="28"/>
        </w:rPr>
      </w:pPr>
      <w:r>
        <w:rPr>
          <w:sz w:val="28"/>
          <w:szCs w:val="28"/>
        </w:rPr>
      </w:r>
    </w:p>
    <w:p>
      <w:pPr>
        <w:pStyle w:val="Normal"/>
        <w:jc w:val="both"/>
        <w:rPr>
          <w:sz w:val="28"/>
          <w:szCs w:val="28"/>
        </w:rPr>
      </w:pPr>
      <w:r>
        <w:rPr>
          <w:b/>
          <w:sz w:val="28"/>
          <w:szCs w:val="28"/>
        </w:rPr>
        <w:t>6</w:t>
      </w:r>
      <w:r>
        <w:rPr>
          <w:sz w:val="28"/>
          <w:szCs w:val="28"/>
        </w:rPr>
        <w:t xml:space="preserve">. La interpretación de los Tratados para evitar la doble imposición - </w:t>
      </w:r>
      <w:r>
        <w:rPr>
          <w:b/>
          <w:sz w:val="28"/>
          <w:szCs w:val="28"/>
        </w:rPr>
        <w:t xml:space="preserve">2Horas </w:t>
      </w:r>
    </w:p>
    <w:p>
      <w:pPr>
        <w:pStyle w:val="Normal"/>
        <w:jc w:val="both"/>
        <w:rPr>
          <w:sz w:val="28"/>
          <w:szCs w:val="28"/>
        </w:rPr>
      </w:pPr>
      <w:r>
        <w:rPr>
          <w:sz w:val="28"/>
          <w:szCs w:val="28"/>
        </w:rPr>
        <w:t>Medios de  interpretación.</w:t>
      </w:r>
    </w:p>
    <w:p>
      <w:pPr>
        <w:pStyle w:val="Normal"/>
        <w:jc w:val="both"/>
        <w:rPr>
          <w:sz w:val="28"/>
          <w:szCs w:val="28"/>
        </w:rPr>
      </w:pPr>
      <w:r>
        <w:rPr>
          <w:sz w:val="28"/>
          <w:szCs w:val="28"/>
        </w:rPr>
        <w:t xml:space="preserve">La trascendencia de  los Comentarios  para la Interpretación </w:t>
      </w:r>
    </w:p>
    <w:p>
      <w:pPr>
        <w:pStyle w:val="Normal"/>
        <w:jc w:val="both"/>
        <w:rPr>
          <w:sz w:val="28"/>
          <w:szCs w:val="28"/>
        </w:rPr>
      </w:pPr>
      <w:r>
        <w:rPr>
          <w:sz w:val="28"/>
          <w:szCs w:val="28"/>
        </w:rPr>
      </w:r>
    </w:p>
    <w:p>
      <w:pPr>
        <w:pStyle w:val="Normal"/>
        <w:jc w:val="both"/>
        <w:rPr>
          <w:b/>
          <w:b/>
          <w:sz w:val="28"/>
          <w:szCs w:val="28"/>
        </w:rPr>
      </w:pPr>
      <w:r>
        <w:rPr>
          <w:b/>
          <w:sz w:val="28"/>
          <w:szCs w:val="28"/>
        </w:rPr>
        <w:t xml:space="preserve">7. </w:t>
      </w:r>
      <w:r>
        <w:rPr>
          <w:sz w:val="28"/>
          <w:szCs w:val="28"/>
        </w:rPr>
        <w:t xml:space="preserve">Los Tratados para evitar la doble imposición suscritos por Uruguay – </w:t>
      </w:r>
      <w:r>
        <w:rPr>
          <w:b/>
          <w:sz w:val="28"/>
          <w:szCs w:val="28"/>
        </w:rPr>
        <w:t xml:space="preserve"> 2Horas</w:t>
      </w:r>
    </w:p>
    <w:p>
      <w:pPr>
        <w:pStyle w:val="Normal"/>
        <w:jc w:val="both"/>
        <w:rPr>
          <w:sz w:val="28"/>
          <w:szCs w:val="28"/>
        </w:rPr>
      </w:pPr>
      <w:r>
        <w:rPr>
          <w:sz w:val="28"/>
          <w:szCs w:val="28"/>
        </w:rPr>
        <w:t>Análisis de algunos de los tratados  suscritos por Uruguay. Características comunes y rasgos específicos.</w:t>
      </w:r>
    </w:p>
    <w:p>
      <w:pPr>
        <w:pStyle w:val="Normal"/>
        <w:jc w:val="both"/>
        <w:rPr>
          <w:sz w:val="28"/>
          <w:szCs w:val="28"/>
        </w:rPr>
      </w:pPr>
      <w:r>
        <w:rPr>
          <w:sz w:val="28"/>
          <w:szCs w:val="28"/>
        </w:rPr>
      </w:r>
    </w:p>
    <w:p>
      <w:pPr>
        <w:pStyle w:val="Normal"/>
        <w:jc w:val="both"/>
        <w:rPr>
          <w:b/>
          <w:b/>
          <w:sz w:val="28"/>
          <w:szCs w:val="28"/>
        </w:rPr>
      </w:pPr>
      <w:r>
        <w:rPr>
          <w:b/>
          <w:sz w:val="28"/>
          <w:szCs w:val="28"/>
        </w:rPr>
        <w:t xml:space="preserve">8. </w:t>
      </w:r>
      <w:r>
        <w:rPr>
          <w:sz w:val="28"/>
          <w:szCs w:val="28"/>
        </w:rPr>
        <w:t xml:space="preserve">La transparencia fiscal - </w:t>
      </w:r>
      <w:r>
        <w:rPr>
          <w:b/>
          <w:sz w:val="28"/>
          <w:szCs w:val="28"/>
        </w:rPr>
        <w:t xml:space="preserve">2 Horas </w:t>
      </w:r>
    </w:p>
    <w:p>
      <w:pPr>
        <w:pStyle w:val="Normal"/>
        <w:jc w:val="both"/>
        <w:rPr>
          <w:sz w:val="28"/>
          <w:szCs w:val="28"/>
        </w:rPr>
      </w:pPr>
      <w:r>
        <w:rPr>
          <w:sz w:val="28"/>
          <w:szCs w:val="28"/>
        </w:rPr>
        <w:t>El intercambio de información.</w:t>
      </w:r>
    </w:p>
    <w:p>
      <w:pPr>
        <w:pStyle w:val="Normal"/>
        <w:jc w:val="both"/>
        <w:rPr>
          <w:sz w:val="28"/>
          <w:szCs w:val="28"/>
        </w:rPr>
      </w:pPr>
      <w:r>
        <w:rPr>
          <w:sz w:val="28"/>
          <w:szCs w:val="28"/>
        </w:rPr>
        <w:t xml:space="preserve">Normas del Modelo OCDE </w:t>
      </w:r>
    </w:p>
    <w:p>
      <w:pPr>
        <w:pStyle w:val="Normal"/>
        <w:jc w:val="both"/>
        <w:rPr>
          <w:sz w:val="28"/>
          <w:szCs w:val="28"/>
        </w:rPr>
      </w:pPr>
      <w:r>
        <w:rPr>
          <w:sz w:val="28"/>
          <w:szCs w:val="28"/>
        </w:rPr>
        <w:t>Modelos de Convenio de Intercambio de  Información del Foro Global.</w:t>
      </w:r>
    </w:p>
    <w:p>
      <w:pPr>
        <w:pStyle w:val="Normal"/>
        <w:jc w:val="both"/>
        <w:rPr>
          <w:sz w:val="28"/>
          <w:szCs w:val="28"/>
        </w:rPr>
      </w:pPr>
      <w:r>
        <w:rPr>
          <w:sz w:val="28"/>
          <w:szCs w:val="28"/>
        </w:rPr>
        <w:t>Modelo de intercambio automático. El CRS.</w:t>
      </w:r>
    </w:p>
    <w:p>
      <w:pPr>
        <w:pStyle w:val="Normal"/>
        <w:jc w:val="both"/>
        <w:rPr>
          <w:sz w:val="28"/>
          <w:szCs w:val="28"/>
        </w:rPr>
      </w:pPr>
      <w:r>
        <w:rPr>
          <w:sz w:val="28"/>
          <w:szCs w:val="28"/>
        </w:rPr>
      </w:r>
    </w:p>
    <w:p>
      <w:pPr>
        <w:pStyle w:val="Normal"/>
        <w:jc w:val="both"/>
        <w:rPr>
          <w:sz w:val="28"/>
          <w:szCs w:val="28"/>
        </w:rPr>
      </w:pPr>
      <w:r>
        <w:rPr>
          <w:b/>
          <w:sz w:val="28"/>
          <w:szCs w:val="28"/>
        </w:rPr>
        <w:t xml:space="preserve">9.  </w:t>
      </w:r>
      <w:r>
        <w:rPr>
          <w:sz w:val="28"/>
          <w:szCs w:val="28"/>
        </w:rPr>
        <w:t xml:space="preserve">El intercambio de información  en Uruguay – </w:t>
      </w:r>
      <w:r>
        <w:rPr>
          <w:b/>
          <w:sz w:val="28"/>
          <w:szCs w:val="28"/>
        </w:rPr>
        <w:t>2 Horas</w:t>
      </w:r>
    </w:p>
    <w:p>
      <w:pPr>
        <w:pStyle w:val="Normal"/>
        <w:jc w:val="both"/>
        <w:rPr>
          <w:sz w:val="28"/>
          <w:szCs w:val="28"/>
        </w:rPr>
      </w:pPr>
      <w:r>
        <w:rPr>
          <w:sz w:val="28"/>
          <w:szCs w:val="28"/>
        </w:rPr>
        <w:t>Intercambio a solicitud, art. 26 Modelo OCDE</w:t>
      </w:r>
    </w:p>
    <w:p>
      <w:pPr>
        <w:pStyle w:val="Normal"/>
        <w:jc w:val="both"/>
        <w:rPr>
          <w:sz w:val="28"/>
          <w:szCs w:val="28"/>
        </w:rPr>
      </w:pPr>
      <w:r>
        <w:rPr>
          <w:sz w:val="28"/>
          <w:szCs w:val="28"/>
        </w:rPr>
        <w:t>Modelo Foro Global</w:t>
      </w:r>
    </w:p>
    <w:p>
      <w:pPr>
        <w:pStyle w:val="Normal"/>
        <w:jc w:val="both"/>
        <w:rPr>
          <w:sz w:val="28"/>
          <w:szCs w:val="28"/>
        </w:rPr>
      </w:pPr>
      <w:r>
        <w:rPr>
          <w:sz w:val="28"/>
          <w:szCs w:val="28"/>
        </w:rPr>
        <w:t>Convenios suscritos por Uruguay  para intercambio de información Tratado  con Argentina</w:t>
      </w:r>
    </w:p>
    <w:p>
      <w:pPr>
        <w:pStyle w:val="Normal"/>
        <w:jc w:val="both"/>
        <w:rPr>
          <w:sz w:val="28"/>
          <w:szCs w:val="28"/>
        </w:rPr>
      </w:pPr>
      <w:r>
        <w:rPr>
          <w:sz w:val="28"/>
          <w:szCs w:val="28"/>
        </w:rPr>
      </w:r>
    </w:p>
    <w:p>
      <w:pPr>
        <w:pStyle w:val="Normal"/>
        <w:jc w:val="both"/>
        <w:rPr>
          <w:b/>
          <w:b/>
          <w:sz w:val="28"/>
          <w:szCs w:val="28"/>
        </w:rPr>
      </w:pPr>
      <w:r>
        <w:rPr>
          <w:b/>
          <w:sz w:val="28"/>
          <w:szCs w:val="28"/>
        </w:rPr>
        <w:t>10.</w:t>
      </w:r>
      <w:r>
        <w:rPr>
          <w:sz w:val="28"/>
          <w:szCs w:val="28"/>
        </w:rPr>
        <w:t xml:space="preserve"> El intercambio de información en Uruguay. Ley Nº 19.484 de 5 de enero de 2017 - </w:t>
      </w:r>
      <w:r>
        <w:rPr>
          <w:b/>
          <w:sz w:val="28"/>
          <w:szCs w:val="28"/>
        </w:rPr>
        <w:t>2 Horas</w:t>
      </w:r>
    </w:p>
    <w:p>
      <w:pPr>
        <w:pStyle w:val="Normal"/>
        <w:jc w:val="both"/>
        <w:rPr>
          <w:sz w:val="28"/>
          <w:szCs w:val="28"/>
        </w:rPr>
      </w:pPr>
      <w:r>
        <w:rPr>
          <w:sz w:val="28"/>
          <w:szCs w:val="28"/>
        </w:rPr>
        <w:t>Cuentas comprendidas</w:t>
      </w:r>
    </w:p>
    <w:p>
      <w:pPr>
        <w:pStyle w:val="Normal"/>
        <w:jc w:val="both"/>
        <w:rPr>
          <w:sz w:val="28"/>
          <w:szCs w:val="28"/>
        </w:rPr>
      </w:pPr>
      <w:r>
        <w:rPr>
          <w:sz w:val="28"/>
          <w:szCs w:val="28"/>
        </w:rPr>
        <w:t>Instituciones comprendidas</w:t>
      </w:r>
    </w:p>
    <w:p>
      <w:pPr>
        <w:pStyle w:val="Normal"/>
        <w:jc w:val="both"/>
        <w:rPr>
          <w:sz w:val="28"/>
          <w:szCs w:val="28"/>
        </w:rPr>
      </w:pPr>
      <w:r>
        <w:rPr>
          <w:sz w:val="28"/>
          <w:szCs w:val="28"/>
        </w:rPr>
        <w:t>Límites</w:t>
      </w:r>
    </w:p>
    <w:p>
      <w:pPr>
        <w:pStyle w:val="Normal"/>
        <w:jc w:val="both"/>
        <w:rPr>
          <w:sz w:val="28"/>
          <w:szCs w:val="28"/>
        </w:rPr>
      </w:pPr>
      <w:r>
        <w:rPr>
          <w:sz w:val="28"/>
          <w:szCs w:val="28"/>
        </w:rPr>
      </w:r>
    </w:p>
    <w:p>
      <w:pPr>
        <w:pStyle w:val="Normal"/>
        <w:jc w:val="both"/>
        <w:rPr>
          <w:b/>
          <w:b/>
          <w:sz w:val="28"/>
          <w:szCs w:val="28"/>
        </w:rPr>
      </w:pPr>
      <w:r>
        <w:rPr>
          <w:b/>
          <w:sz w:val="28"/>
          <w:szCs w:val="28"/>
        </w:rPr>
        <w:t xml:space="preserve">11. </w:t>
      </w:r>
      <w:r>
        <w:rPr>
          <w:sz w:val="28"/>
          <w:szCs w:val="28"/>
        </w:rPr>
        <w:t xml:space="preserve">Los derechos humanos y el intercambio de información – </w:t>
      </w:r>
      <w:r>
        <w:rPr>
          <w:b/>
          <w:sz w:val="28"/>
          <w:szCs w:val="28"/>
        </w:rPr>
        <w:t>2 Horas</w:t>
      </w:r>
    </w:p>
    <w:p>
      <w:pPr>
        <w:pStyle w:val="Normal"/>
        <w:jc w:val="both"/>
        <w:rPr>
          <w:sz w:val="28"/>
          <w:szCs w:val="28"/>
        </w:rPr>
      </w:pPr>
      <w:r>
        <w:rPr>
          <w:sz w:val="28"/>
          <w:szCs w:val="28"/>
        </w:rPr>
        <w:t>Derechos ex ante y ex post.Principio del debido proceso Vista previa</w:t>
      </w:r>
    </w:p>
    <w:p>
      <w:pPr>
        <w:pStyle w:val="Normal"/>
        <w:jc w:val="both"/>
        <w:rPr>
          <w:sz w:val="28"/>
          <w:szCs w:val="28"/>
        </w:rPr>
      </w:pPr>
      <w:r>
        <w:rPr>
          <w:sz w:val="28"/>
          <w:szCs w:val="28"/>
        </w:rPr>
        <w:t>El procedimiento para la obtención en el intercambio de información. Derechos de participación.</w:t>
      </w:r>
    </w:p>
    <w:p>
      <w:pPr>
        <w:pStyle w:val="Normal"/>
        <w:jc w:val="both"/>
        <w:rPr>
          <w:sz w:val="28"/>
          <w:szCs w:val="28"/>
        </w:rPr>
      </w:pPr>
      <w:r>
        <w:rPr>
          <w:sz w:val="28"/>
          <w:szCs w:val="28"/>
        </w:rPr>
        <w:t>Derecho a la confidencialidad. Secreto tributario.</w:t>
      </w:r>
    </w:p>
    <w:p>
      <w:pPr>
        <w:pStyle w:val="Normal"/>
        <w:jc w:val="both"/>
        <w:rPr>
          <w:sz w:val="28"/>
          <w:szCs w:val="28"/>
        </w:rPr>
      </w:pPr>
      <w:r>
        <w:rPr>
          <w:sz w:val="28"/>
          <w:szCs w:val="28"/>
        </w:rPr>
        <w:t>Principio de irretroactividad.</w:t>
      </w:r>
    </w:p>
    <w:p>
      <w:pPr>
        <w:pStyle w:val="Normal"/>
        <w:jc w:val="both"/>
        <w:rPr>
          <w:sz w:val="28"/>
          <w:szCs w:val="28"/>
        </w:rPr>
      </w:pPr>
      <w:r>
        <w:rPr>
          <w:sz w:val="28"/>
          <w:szCs w:val="28"/>
        </w:rPr>
        <w:t>Intervención de los particulares.</w:t>
      </w:r>
    </w:p>
    <w:p>
      <w:pPr>
        <w:pStyle w:val="Normal"/>
        <w:jc w:val="both"/>
        <w:rPr>
          <w:sz w:val="28"/>
          <w:szCs w:val="28"/>
        </w:rPr>
      </w:pPr>
      <w:r>
        <w:rPr>
          <w:sz w:val="28"/>
          <w:szCs w:val="28"/>
        </w:rPr>
        <w:t>Secretos empresariales</w:t>
      </w:r>
    </w:p>
    <w:p>
      <w:pPr>
        <w:pStyle w:val="Normal"/>
        <w:jc w:val="both"/>
        <w:rPr>
          <w:sz w:val="28"/>
          <w:szCs w:val="28"/>
        </w:rPr>
      </w:pPr>
      <w:r>
        <w:rPr>
          <w:sz w:val="28"/>
          <w:szCs w:val="28"/>
        </w:rPr>
        <w:t>Casos internacionales: Caso Aloe Vera, caso Feazzini, caso Sahou.</w:t>
      </w:r>
    </w:p>
    <w:p>
      <w:pPr>
        <w:pStyle w:val="Normal"/>
        <w:jc w:val="both"/>
        <w:rPr>
          <w:sz w:val="28"/>
          <w:szCs w:val="28"/>
        </w:rPr>
      </w:pPr>
      <w:r>
        <w:rPr>
          <w:sz w:val="28"/>
          <w:szCs w:val="28"/>
        </w:rPr>
        <w:t>La Corte Europea y los derechos humanos.</w:t>
      </w:r>
    </w:p>
    <w:p>
      <w:pPr>
        <w:pStyle w:val="Normal"/>
        <w:jc w:val="both"/>
        <w:rPr>
          <w:sz w:val="28"/>
          <w:szCs w:val="28"/>
        </w:rPr>
      </w:pPr>
      <w:r>
        <w:rPr>
          <w:sz w:val="28"/>
          <w:szCs w:val="28"/>
        </w:rPr>
        <w:t>Las Directivas europeas.</w:t>
      </w:r>
    </w:p>
    <w:p>
      <w:pPr>
        <w:pStyle w:val="Normal"/>
        <w:jc w:val="both"/>
        <w:rPr>
          <w:sz w:val="28"/>
          <w:szCs w:val="28"/>
        </w:rPr>
      </w:pPr>
      <w:r>
        <w:rPr>
          <w:sz w:val="28"/>
          <w:szCs w:val="28"/>
        </w:rPr>
        <w:t>Uso de información obtenida a través de actividad criminal.</w:t>
      </w:r>
    </w:p>
    <w:p>
      <w:pPr>
        <w:pStyle w:val="Normal"/>
        <w:jc w:val="both"/>
        <w:rPr>
          <w:b/>
          <w:b/>
          <w:sz w:val="28"/>
          <w:szCs w:val="28"/>
        </w:rPr>
      </w:pPr>
      <w:r>
        <w:rPr>
          <w:b/>
          <w:sz w:val="28"/>
          <w:szCs w:val="28"/>
        </w:rPr>
      </w:r>
    </w:p>
    <w:p>
      <w:pPr>
        <w:pStyle w:val="Normal"/>
        <w:jc w:val="both"/>
        <w:rPr>
          <w:b/>
          <w:b/>
          <w:sz w:val="28"/>
          <w:szCs w:val="28"/>
        </w:rPr>
      </w:pPr>
      <w:r>
        <w:rPr>
          <w:b/>
          <w:sz w:val="28"/>
          <w:szCs w:val="28"/>
        </w:rPr>
        <w:t>12.</w:t>
      </w:r>
      <w:r>
        <w:rPr>
          <w:sz w:val="28"/>
          <w:szCs w:val="28"/>
        </w:rPr>
        <w:t xml:space="preserve"> Derechos Humanos en Uruguay y derechos de participación en el intercambio de información – </w:t>
      </w:r>
      <w:r>
        <w:rPr>
          <w:b/>
          <w:sz w:val="28"/>
          <w:szCs w:val="28"/>
        </w:rPr>
        <w:t xml:space="preserve">2 Horas </w:t>
      </w:r>
    </w:p>
    <w:p>
      <w:pPr>
        <w:pStyle w:val="Normal"/>
        <w:jc w:val="both"/>
        <w:rPr>
          <w:sz w:val="28"/>
          <w:szCs w:val="28"/>
        </w:rPr>
      </w:pPr>
      <w:r>
        <w:rPr>
          <w:sz w:val="28"/>
          <w:szCs w:val="28"/>
        </w:rPr>
        <w:t xml:space="preserve">Vista previa. Normativa. </w:t>
      </w:r>
    </w:p>
    <w:p>
      <w:pPr>
        <w:pStyle w:val="Normal"/>
        <w:jc w:val="both"/>
        <w:rPr>
          <w:sz w:val="28"/>
          <w:szCs w:val="28"/>
        </w:rPr>
      </w:pPr>
      <w:r>
        <w:rPr>
          <w:sz w:val="28"/>
          <w:szCs w:val="28"/>
        </w:rPr>
        <w:t>La Constitución arts. 66 y 72.</w:t>
      </w:r>
    </w:p>
    <w:p>
      <w:pPr>
        <w:pStyle w:val="Normal"/>
        <w:jc w:val="both"/>
        <w:rPr>
          <w:sz w:val="28"/>
          <w:szCs w:val="28"/>
        </w:rPr>
      </w:pPr>
      <w:r>
        <w:rPr>
          <w:sz w:val="28"/>
          <w:szCs w:val="28"/>
        </w:rPr>
        <w:t>Decreto  313/2011 art. 47.</w:t>
      </w:r>
    </w:p>
    <w:p>
      <w:pPr>
        <w:pStyle w:val="Normal"/>
        <w:jc w:val="both"/>
        <w:rPr>
          <w:sz w:val="28"/>
          <w:szCs w:val="28"/>
        </w:rPr>
      </w:pPr>
      <w:r>
        <w:rPr>
          <w:sz w:val="28"/>
          <w:szCs w:val="28"/>
        </w:rPr>
        <w:t>Ley 18.331, 18.996, 18.831.</w:t>
      </w:r>
    </w:p>
    <w:p>
      <w:pPr>
        <w:pStyle w:val="Normal"/>
        <w:jc w:val="both"/>
        <w:rPr>
          <w:sz w:val="28"/>
          <w:szCs w:val="28"/>
        </w:rPr>
      </w:pPr>
      <w:r>
        <w:rPr>
          <w:sz w:val="28"/>
          <w:szCs w:val="28"/>
        </w:rPr>
        <w:t>Ley  19.484 y Decreto 77/17</w:t>
      </w:r>
    </w:p>
    <w:p>
      <w:pPr>
        <w:pStyle w:val="Normal"/>
        <w:jc w:val="both"/>
        <w:rPr>
          <w:sz w:val="28"/>
          <w:szCs w:val="28"/>
        </w:rPr>
      </w:pPr>
      <w:r>
        <w:rPr>
          <w:sz w:val="28"/>
          <w:szCs w:val="28"/>
        </w:rPr>
      </w:r>
    </w:p>
    <w:p>
      <w:pPr>
        <w:pStyle w:val="Normal"/>
        <w:jc w:val="both"/>
        <w:rPr>
          <w:b/>
          <w:b/>
          <w:sz w:val="28"/>
          <w:szCs w:val="28"/>
        </w:rPr>
      </w:pPr>
      <w:r>
        <w:rPr>
          <w:b/>
          <w:sz w:val="28"/>
          <w:szCs w:val="28"/>
        </w:rPr>
        <w:t>13.</w:t>
      </w:r>
      <w:r>
        <w:rPr>
          <w:sz w:val="28"/>
          <w:szCs w:val="28"/>
        </w:rPr>
        <w:t xml:space="preserve"> El secreto bancario. Estado actual y el intercambio automático de información – </w:t>
      </w:r>
      <w:r>
        <w:rPr>
          <w:b/>
          <w:sz w:val="28"/>
          <w:szCs w:val="28"/>
        </w:rPr>
        <w:t>2 Horas</w:t>
      </w:r>
    </w:p>
    <w:p>
      <w:pPr>
        <w:pStyle w:val="Normal"/>
        <w:jc w:val="both"/>
        <w:rPr>
          <w:sz w:val="28"/>
          <w:szCs w:val="28"/>
        </w:rPr>
      </w:pPr>
      <w:r>
        <w:rPr>
          <w:sz w:val="28"/>
          <w:szCs w:val="28"/>
        </w:rPr>
      </w:r>
    </w:p>
    <w:p>
      <w:pPr>
        <w:pStyle w:val="Normal"/>
        <w:jc w:val="both"/>
        <w:rPr>
          <w:sz w:val="28"/>
          <w:szCs w:val="28"/>
        </w:rPr>
      </w:pPr>
      <w:r>
        <w:rPr>
          <w:b/>
          <w:sz w:val="28"/>
          <w:szCs w:val="28"/>
        </w:rPr>
        <w:t>14.</w:t>
      </w:r>
      <w:r>
        <w:rPr>
          <w:sz w:val="28"/>
          <w:szCs w:val="28"/>
        </w:rPr>
        <w:t xml:space="preserve"> Plan de Acción BEPS – Origen, objetivos.  La soberanía Fiscal y BEPS – </w:t>
      </w:r>
      <w:r>
        <w:rPr>
          <w:b/>
          <w:sz w:val="28"/>
          <w:szCs w:val="28"/>
        </w:rPr>
        <w:t>2 Horas</w:t>
      </w:r>
      <w:r>
        <w:rPr>
          <w:sz w:val="28"/>
          <w:szCs w:val="28"/>
        </w:rPr>
        <w:t xml:space="preserve"> </w:t>
      </w:r>
    </w:p>
    <w:p>
      <w:pPr>
        <w:pStyle w:val="Normal"/>
        <w:jc w:val="both"/>
        <w:rPr>
          <w:sz w:val="28"/>
          <w:szCs w:val="28"/>
        </w:rPr>
      </w:pPr>
      <w:r>
        <w:rPr>
          <w:sz w:val="28"/>
          <w:szCs w:val="28"/>
        </w:rPr>
        <w:t>Los requisitos para el multilateralismo</w:t>
      </w:r>
    </w:p>
    <w:p>
      <w:pPr>
        <w:pStyle w:val="Normal"/>
        <w:jc w:val="both"/>
        <w:rPr>
          <w:sz w:val="28"/>
          <w:szCs w:val="28"/>
        </w:rPr>
      </w:pPr>
      <w:r>
        <w:rPr>
          <w:sz w:val="28"/>
          <w:szCs w:val="28"/>
        </w:rPr>
        <w:t>La soberanía fiscal y BEPS.</w:t>
      </w:r>
    </w:p>
    <w:p>
      <w:pPr>
        <w:pStyle w:val="Normal"/>
        <w:jc w:val="both"/>
        <w:rPr>
          <w:sz w:val="28"/>
          <w:szCs w:val="28"/>
        </w:rPr>
      </w:pPr>
      <w:r>
        <w:rPr>
          <w:sz w:val="28"/>
          <w:szCs w:val="28"/>
        </w:rPr>
        <w:t>Las 15 Acciones BEPS. Las conclusiones de algunas acciones.</w:t>
      </w:r>
    </w:p>
    <w:p>
      <w:pPr>
        <w:pStyle w:val="Normal"/>
        <w:jc w:val="both"/>
        <w:rPr>
          <w:sz w:val="28"/>
          <w:szCs w:val="28"/>
        </w:rPr>
      </w:pPr>
      <w:r>
        <w:rPr>
          <w:sz w:val="28"/>
          <w:szCs w:val="28"/>
        </w:rPr>
      </w:r>
    </w:p>
    <w:p>
      <w:pPr>
        <w:pStyle w:val="Normal"/>
        <w:jc w:val="both"/>
        <w:rPr>
          <w:b/>
          <w:b/>
          <w:sz w:val="28"/>
          <w:szCs w:val="28"/>
        </w:rPr>
      </w:pPr>
      <w:r>
        <w:rPr>
          <w:b/>
          <w:sz w:val="28"/>
          <w:szCs w:val="28"/>
        </w:rPr>
        <w:t xml:space="preserve">15. </w:t>
      </w:r>
      <w:r>
        <w:rPr>
          <w:sz w:val="28"/>
          <w:szCs w:val="28"/>
        </w:rPr>
        <w:t xml:space="preserve">Abuso de Convenios. Modalidades. Normas antiabuso  domésticas e internacionales. El beneficiario efectivo. Limitación de beneficios. Medidas adoptadas en los CDI vigentes en Uruguay - </w:t>
      </w:r>
      <w:r>
        <w:rPr>
          <w:b/>
          <w:sz w:val="28"/>
          <w:szCs w:val="28"/>
        </w:rPr>
        <w:t>2horas</w:t>
      </w:r>
    </w:p>
    <w:p>
      <w:pPr>
        <w:pStyle w:val="Normal"/>
        <w:jc w:val="both"/>
        <w:rPr>
          <w:b/>
          <w:b/>
          <w:sz w:val="28"/>
          <w:szCs w:val="28"/>
        </w:rPr>
      </w:pPr>
      <w:r>
        <w:rPr>
          <w:b/>
          <w:sz w:val="28"/>
          <w:szCs w:val="28"/>
        </w:rPr>
      </w:r>
    </w:p>
    <w:p>
      <w:pPr>
        <w:pStyle w:val="Normal"/>
        <w:jc w:val="both"/>
        <w:rPr>
          <w:b/>
          <w:b/>
          <w:sz w:val="28"/>
          <w:szCs w:val="28"/>
        </w:rPr>
      </w:pPr>
      <w:r>
        <w:rPr>
          <w:b/>
          <w:sz w:val="28"/>
          <w:szCs w:val="28"/>
        </w:rPr>
        <w:t>16</w:t>
      </w:r>
      <w:r>
        <w:rPr>
          <w:sz w:val="28"/>
          <w:szCs w:val="28"/>
        </w:rPr>
        <w:t xml:space="preserve">. Planificación fiscal internacional. La planificación “agresiva”. Normativa actual - </w:t>
      </w:r>
      <w:r>
        <w:rPr>
          <w:b/>
          <w:sz w:val="28"/>
          <w:szCs w:val="28"/>
        </w:rPr>
        <w:t>2 Horas</w:t>
      </w:r>
    </w:p>
    <w:p>
      <w:pPr>
        <w:pStyle w:val="Normal"/>
        <w:jc w:val="both"/>
        <w:rPr>
          <w:sz w:val="28"/>
          <w:szCs w:val="28"/>
        </w:rPr>
      </w:pPr>
      <w:r>
        <w:rPr>
          <w:sz w:val="28"/>
          <w:szCs w:val="28"/>
        </w:rPr>
      </w:r>
    </w:p>
    <w:p>
      <w:pPr>
        <w:pStyle w:val="Normal"/>
        <w:jc w:val="both"/>
        <w:rPr>
          <w:sz w:val="28"/>
          <w:szCs w:val="28"/>
        </w:rPr>
      </w:pPr>
      <w:r>
        <w:rPr>
          <w:b/>
          <w:sz w:val="28"/>
          <w:szCs w:val="28"/>
        </w:rPr>
        <w:t xml:space="preserve">17. </w:t>
      </w:r>
      <w:r>
        <w:rPr>
          <w:sz w:val="28"/>
          <w:szCs w:val="28"/>
        </w:rPr>
        <w:t xml:space="preserve">Precios de transferencia. Estado actual en Uruguay - </w:t>
      </w:r>
      <w:r>
        <w:rPr>
          <w:b/>
          <w:sz w:val="28"/>
          <w:szCs w:val="28"/>
        </w:rPr>
        <w:t>2 Horas</w:t>
      </w:r>
    </w:p>
    <w:p>
      <w:pPr>
        <w:pStyle w:val="Normal"/>
        <w:jc w:val="both"/>
        <w:rPr>
          <w:b/>
          <w:b/>
          <w:sz w:val="28"/>
          <w:szCs w:val="28"/>
        </w:rPr>
      </w:pPr>
      <w:r>
        <w:rPr>
          <w:b/>
          <w:sz w:val="28"/>
          <w:szCs w:val="28"/>
        </w:rPr>
      </w:r>
    </w:p>
    <w:p>
      <w:pPr>
        <w:pStyle w:val="Normal"/>
        <w:jc w:val="both"/>
        <w:rPr>
          <w:b/>
          <w:b/>
          <w:sz w:val="28"/>
          <w:szCs w:val="28"/>
        </w:rPr>
      </w:pPr>
      <w:r>
        <w:rPr>
          <w:b/>
          <w:sz w:val="28"/>
          <w:szCs w:val="28"/>
        </w:rPr>
        <w:t>18.</w:t>
      </w:r>
      <w:r>
        <w:rPr>
          <w:sz w:val="28"/>
          <w:szCs w:val="28"/>
        </w:rPr>
        <w:t xml:space="preserve"> Estado actual de las transacciones virtuales: el Establecimiento virtual? Conclusiones acciones  BEPS. Algunas soluciones adoptadas en algunos países – </w:t>
      </w:r>
      <w:r>
        <w:rPr>
          <w:b/>
          <w:sz w:val="28"/>
          <w:szCs w:val="28"/>
        </w:rPr>
        <w:t>2 Horas</w:t>
      </w:r>
    </w:p>
    <w:p>
      <w:pPr>
        <w:pStyle w:val="Normal"/>
        <w:jc w:val="both"/>
        <w:rPr>
          <w:b/>
          <w:b/>
          <w:sz w:val="28"/>
          <w:szCs w:val="28"/>
        </w:rPr>
      </w:pPr>
      <w:r>
        <w:rPr>
          <w:b/>
          <w:sz w:val="28"/>
          <w:szCs w:val="28"/>
        </w:rPr>
      </w:r>
    </w:p>
    <w:p>
      <w:pPr>
        <w:pStyle w:val="Normal"/>
        <w:jc w:val="both"/>
        <w:rPr>
          <w:b/>
          <w:b/>
          <w:sz w:val="28"/>
          <w:szCs w:val="28"/>
        </w:rPr>
      </w:pPr>
      <w:r>
        <w:rPr>
          <w:b/>
          <w:sz w:val="28"/>
          <w:szCs w:val="28"/>
        </w:rPr>
        <w:t xml:space="preserve">19. </w:t>
      </w:r>
      <w:r>
        <w:rPr>
          <w:sz w:val="28"/>
          <w:szCs w:val="28"/>
        </w:rPr>
        <w:t xml:space="preserve">Los beneficios fiscales y las zonas francas en la Acción 5  BEPS -  </w:t>
      </w:r>
      <w:r>
        <w:rPr>
          <w:b/>
          <w:sz w:val="28"/>
          <w:szCs w:val="28"/>
        </w:rPr>
        <w:t>2horas</w:t>
      </w:r>
    </w:p>
    <w:p>
      <w:pPr>
        <w:pStyle w:val="Normal"/>
        <w:jc w:val="both"/>
        <w:rPr>
          <w:b/>
          <w:b/>
          <w:sz w:val="28"/>
          <w:szCs w:val="28"/>
        </w:rPr>
      </w:pPr>
      <w:r>
        <w:rPr>
          <w:b/>
          <w:sz w:val="28"/>
          <w:szCs w:val="28"/>
        </w:rPr>
      </w:r>
    </w:p>
    <w:p>
      <w:pPr>
        <w:pStyle w:val="Normal"/>
        <w:jc w:val="both"/>
        <w:rPr>
          <w:b/>
          <w:b/>
          <w:sz w:val="28"/>
          <w:szCs w:val="28"/>
        </w:rPr>
      </w:pPr>
      <w:r>
        <w:rPr>
          <w:b/>
          <w:sz w:val="28"/>
          <w:szCs w:val="28"/>
        </w:rPr>
        <w:t>20.</w:t>
      </w:r>
      <w:r>
        <w:rPr>
          <w:sz w:val="28"/>
          <w:szCs w:val="28"/>
        </w:rPr>
        <w:t xml:space="preserve"> La aplicación de las acciones BEPS. Convenio multilateral. La solución de conflictos - </w:t>
      </w:r>
      <w:r>
        <w:rPr>
          <w:b/>
          <w:sz w:val="28"/>
          <w:szCs w:val="28"/>
        </w:rPr>
        <w:t>2 Horas</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b/>
          <w:b/>
          <w:sz w:val="28"/>
          <w:szCs w:val="28"/>
        </w:rPr>
      </w:pPr>
      <w:r>
        <w:rPr>
          <w:b/>
          <w:sz w:val="28"/>
          <w:szCs w:val="28"/>
        </w:rPr>
        <w:t>Bibliografía básica</w:t>
      </w:r>
    </w:p>
    <w:p>
      <w:pPr>
        <w:pStyle w:val="Normal"/>
        <w:jc w:val="both"/>
        <w:rPr>
          <w:sz w:val="28"/>
          <w:szCs w:val="28"/>
        </w:rPr>
      </w:pPr>
      <w:r>
        <w:rPr>
          <w:sz w:val="28"/>
          <w:szCs w:val="28"/>
        </w:rPr>
        <w:t>Addy Mazz</w:t>
      </w:r>
      <w:r>
        <w:rPr>
          <w:b/>
          <w:sz w:val="28"/>
          <w:szCs w:val="28"/>
        </w:rPr>
        <w:t xml:space="preserve"> “</w:t>
      </w:r>
      <w:r>
        <w:rPr>
          <w:sz w:val="28"/>
          <w:szCs w:val="28"/>
        </w:rPr>
        <w:t>Conflictos en la atribución y distribución de potestad tributaria”  ( ponencia   general en IFA Latam República Dominicana)</w:t>
      </w:r>
    </w:p>
    <w:p>
      <w:pPr>
        <w:pStyle w:val="Normal"/>
        <w:jc w:val="both"/>
        <w:rPr>
          <w:sz w:val="28"/>
          <w:szCs w:val="28"/>
        </w:rPr>
      </w:pPr>
      <w:r>
        <w:rPr>
          <w:sz w:val="28"/>
          <w:szCs w:val="28"/>
        </w:rPr>
        <w:t>Addy Mazz, “La interpretación de los tratados para evitar la doble imposición”, Revista Tributaria Nº 233, pg. 227.</w:t>
      </w:r>
    </w:p>
    <w:p>
      <w:pPr>
        <w:pStyle w:val="Normal"/>
        <w:jc w:val="both"/>
        <w:rPr>
          <w:sz w:val="28"/>
          <w:szCs w:val="28"/>
        </w:rPr>
      </w:pPr>
      <w:r>
        <w:rPr>
          <w:sz w:val="28"/>
          <w:szCs w:val="28"/>
        </w:rPr>
        <w:t>Addy Mazz, “Imposición  y derechos fundamentales  de los contribuyentes: derechos procedimentales de los contribuyentes de un mundo globalizado” Revista Tributaria  Número 248  Pg. 749</w:t>
      </w:r>
    </w:p>
    <w:p>
      <w:pPr>
        <w:pStyle w:val="Normal"/>
        <w:jc w:val="both"/>
        <w:rPr>
          <w:sz w:val="28"/>
          <w:szCs w:val="28"/>
        </w:rPr>
      </w:pPr>
      <w:r>
        <w:rPr>
          <w:sz w:val="28"/>
          <w:szCs w:val="28"/>
        </w:rPr>
        <w:t>Addy Mazz, “Plan de acción BEPS. Estado actual”, Revista Tributaria Nº 253, pg.- 537</w:t>
      </w:r>
    </w:p>
    <w:p>
      <w:pPr>
        <w:pStyle w:val="Normal"/>
        <w:jc w:val="both"/>
        <w:rPr>
          <w:sz w:val="28"/>
          <w:szCs w:val="28"/>
        </w:rPr>
      </w:pPr>
      <w:r>
        <w:rPr>
          <w:sz w:val="28"/>
          <w:szCs w:val="28"/>
        </w:rPr>
        <w:t xml:space="preserve">Addy Mazz ,  La transparencia fiscal   y el intercambio automático de información “         ,en Revista  Consultor Tributario, La ley, Año VII No. 4, Abril 2016, pg. 31 </w:t>
      </w:r>
    </w:p>
    <w:p>
      <w:pPr>
        <w:pStyle w:val="Normal"/>
        <w:jc w:val="both"/>
        <w:rPr>
          <w:sz w:val="28"/>
          <w:szCs w:val="28"/>
        </w:rPr>
      </w:pPr>
      <w:r>
        <w:rPr>
          <w:sz w:val="28"/>
          <w:szCs w:val="28"/>
        </w:rPr>
        <w:t>Mazz, Addy y Pasquale  Pistone,  “Reflexiones  en torno a un Modelo Latinoamericano de Convenio de Doble imposición “, F.C.U.  Año 2010</w:t>
      </w:r>
    </w:p>
    <w:p>
      <w:pPr>
        <w:pStyle w:val="Normal"/>
        <w:jc w:val="both"/>
        <w:rPr>
          <w:sz w:val="28"/>
          <w:szCs w:val="28"/>
        </w:rPr>
      </w:pPr>
      <w:r>
        <w:rPr>
          <w:sz w:val="28"/>
          <w:szCs w:val="28"/>
        </w:rPr>
        <w:t>Guillermo Nieves, “La interpretación de los Convenios para evitar la doble imposición”, Revista tributaria Nº 217.</w:t>
      </w:r>
    </w:p>
    <w:p>
      <w:pPr>
        <w:pStyle w:val="Normal"/>
        <w:jc w:val="both"/>
        <w:rPr>
          <w:sz w:val="28"/>
          <w:szCs w:val="28"/>
        </w:rPr>
      </w:pPr>
      <w:r>
        <w:rPr>
          <w:sz w:val="28"/>
          <w:szCs w:val="28"/>
        </w:rPr>
        <w:t>Carlos Loaiza Keel, “La interpretación y calificación en los convenios para evitar la doble imposición”, Revista Tributaria Nº 216.</w:t>
      </w:r>
    </w:p>
    <w:p>
      <w:pPr>
        <w:pStyle w:val="Normal"/>
        <w:jc w:val="both"/>
        <w:rPr>
          <w:sz w:val="28"/>
          <w:szCs w:val="28"/>
        </w:rPr>
      </w:pPr>
      <w:r>
        <w:rPr>
          <w:sz w:val="28"/>
          <w:szCs w:val="28"/>
        </w:rPr>
        <w:t>Andrés Blanco, “El valor del “Comentario OCDE” en la solución de problemas jurídicos tributarios”, Revista Tributaria Nº 235, pg. 655.</w:t>
      </w:r>
    </w:p>
    <w:p>
      <w:pPr>
        <w:pStyle w:val="Normal"/>
        <w:jc w:val="both"/>
        <w:rPr>
          <w:sz w:val="28"/>
          <w:szCs w:val="28"/>
        </w:rPr>
      </w:pPr>
      <w:r>
        <w:rPr>
          <w:sz w:val="28"/>
          <w:szCs w:val="28"/>
        </w:rPr>
        <w:t>Ramón Falcon y Tella y Elvira Pulido, “El derechos fiscal internacional”, Marcial Pons 2010.</w:t>
      </w:r>
    </w:p>
    <w:p>
      <w:pPr>
        <w:pStyle w:val="Normal"/>
        <w:jc w:val="both"/>
        <w:rPr>
          <w:sz w:val="28"/>
          <w:szCs w:val="28"/>
        </w:rPr>
      </w:pPr>
      <w:r>
        <w:rPr>
          <w:sz w:val="28"/>
          <w:szCs w:val="28"/>
        </w:rPr>
        <w:t>Ana Klappenbach, María José Satos y Carolina Zitto, “El concepto de “beneficiario efectivo” en los convenios para evitar la doble imposición, Rev. Tributaria  No. 234 ,pg. 425.</w:t>
      </w:r>
    </w:p>
    <w:p>
      <w:pPr>
        <w:pStyle w:val="Normal"/>
        <w:jc w:val="both"/>
        <w:rPr>
          <w:sz w:val="28"/>
          <w:szCs w:val="28"/>
        </w:rPr>
      </w:pPr>
      <w:r>
        <w:rPr>
          <w:sz w:val="28"/>
          <w:szCs w:val="28"/>
        </w:rPr>
        <w:t>Gabriel Cáceres y César Pérez Novaro, “El concepto de residencia en el sistema tributario uruguayo, Revista Tributaria Nº 228, pg. 345.</w:t>
      </w:r>
    </w:p>
    <w:p>
      <w:pPr>
        <w:pStyle w:val="Normal"/>
        <w:jc w:val="both"/>
        <w:rPr>
          <w:sz w:val="28"/>
          <w:szCs w:val="28"/>
        </w:rPr>
      </w:pPr>
      <w:r>
        <w:rPr>
          <w:sz w:val="28"/>
          <w:szCs w:val="28"/>
        </w:rPr>
        <w:t>Agustín Amonte, “El intercambio de información en el convenio Uruguay-Argentina, Revista Tributaria Nº 238, pg. 5.</w:t>
      </w:r>
    </w:p>
    <w:p>
      <w:pPr>
        <w:pStyle w:val="Normal"/>
        <w:jc w:val="both"/>
        <w:rPr>
          <w:sz w:val="28"/>
          <w:szCs w:val="28"/>
        </w:rPr>
      </w:pPr>
      <w:r>
        <w:rPr>
          <w:sz w:val="28"/>
          <w:szCs w:val="28"/>
        </w:rPr>
        <w:t>Diego Pescadere y Pablo Barrios, “La intimidad como límite al ejercicio del derecho de acceso a la información tributaria. Tutela jurisdiccional efectiva y oportunamente tempestiva, Revista Tributaria Nº 238, pg. 23.</w:t>
      </w:r>
    </w:p>
    <w:p>
      <w:pPr>
        <w:pStyle w:val="Normal"/>
        <w:jc w:val="both"/>
        <w:rPr>
          <w:sz w:val="28"/>
          <w:szCs w:val="28"/>
        </w:rPr>
      </w:pPr>
      <w:r>
        <w:rPr>
          <w:sz w:val="28"/>
          <w:szCs w:val="28"/>
        </w:rPr>
        <w:t xml:space="preserve"> </w:t>
      </w:r>
      <w:r>
        <w:rPr>
          <w:sz w:val="28"/>
          <w:szCs w:val="28"/>
        </w:rPr>
        <w:t>Miguel Pezzutti, “Intercambio de información tributaria entre Argentina y Uruguay”, Revista Tributaria Nº 238, pg. 37.</w:t>
      </w:r>
    </w:p>
    <w:p>
      <w:pPr>
        <w:pStyle w:val="Normal"/>
        <w:jc w:val="both"/>
        <w:rPr>
          <w:sz w:val="28"/>
          <w:szCs w:val="28"/>
        </w:rPr>
      </w:pPr>
      <w:r>
        <w:rPr>
          <w:sz w:val="28"/>
          <w:szCs w:val="28"/>
        </w:rPr>
        <w:t>Félix Abadi, “Métodos para evitar la doble imposición en el convenio Argentina-Uruguay”, Revista Tributaria Nº 237, pg. 957.</w:t>
      </w:r>
    </w:p>
    <w:p>
      <w:pPr>
        <w:pStyle w:val="Normal"/>
        <w:jc w:val="both"/>
        <w:rPr>
          <w:sz w:val="28"/>
          <w:szCs w:val="28"/>
        </w:rPr>
      </w:pPr>
      <w:r>
        <w:rPr>
          <w:sz w:val="28"/>
          <w:szCs w:val="28"/>
        </w:rPr>
        <w:t>José Carlos Bordolli, “El intercambio de información en el convenio Uruguay-Argentina, Revista Tributaria Nº 237, pg. 991.</w:t>
      </w:r>
    </w:p>
    <w:p>
      <w:pPr>
        <w:pStyle w:val="Normal"/>
        <w:jc w:val="both"/>
        <w:rPr>
          <w:sz w:val="28"/>
          <w:szCs w:val="28"/>
        </w:rPr>
      </w:pPr>
      <w:r>
        <w:rPr>
          <w:sz w:val="28"/>
          <w:szCs w:val="28"/>
        </w:rPr>
        <w:t>Pablo Ferreri y Guillermo Nieves, “Intercambio de información y asistencia mutua en la recaudación entre Administraciones tributarias, Revista Tributaria Nº 237, pg. 1055.</w:t>
      </w:r>
    </w:p>
    <w:p>
      <w:pPr>
        <w:pStyle w:val="Normal"/>
        <w:jc w:val="both"/>
        <w:rPr>
          <w:sz w:val="28"/>
          <w:szCs w:val="28"/>
        </w:rPr>
      </w:pPr>
      <w:r>
        <w:rPr>
          <w:sz w:val="28"/>
          <w:szCs w:val="28"/>
        </w:rPr>
        <w:t>Pierina De León y Mario Ferrari Rey, “Los retos de la fiscalidad internacional latinoamericana en el contexto actual. ¿Hacia la convivencia de un convenio multilateral BEPS con convenios bilaterales para evitar la doble imposición internacional? Revista Tributaria Nº 250, pg. 65.</w:t>
      </w:r>
    </w:p>
    <w:p>
      <w:pPr>
        <w:pStyle w:val="Normal"/>
        <w:jc w:val="both"/>
        <w:rPr>
          <w:sz w:val="28"/>
          <w:szCs w:val="28"/>
        </w:rPr>
      </w:pPr>
      <w:r>
        <w:rPr>
          <w:sz w:val="28"/>
          <w:szCs w:val="28"/>
        </w:rPr>
        <w:t>Milagros Acosta, “Conflictos en la atribución y distribución de la potestad tributaria”, Revista Tributaria Nº 248, pg. 701.</w:t>
      </w:r>
    </w:p>
    <w:p>
      <w:pPr>
        <w:pStyle w:val="Normal"/>
        <w:jc w:val="both"/>
        <w:rPr>
          <w:sz w:val="28"/>
          <w:szCs w:val="28"/>
        </w:rPr>
      </w:pPr>
      <w:r>
        <w:rPr>
          <w:sz w:val="28"/>
          <w:szCs w:val="28"/>
        </w:rPr>
        <w:t>Sol Agostino y Carolina Zitto: “Aproximaciones  a algunos de los problemas que plantea el intercambio de información interncional en materia tributaria , Revista Tributaria Nº 235, pg. 615.</w:t>
      </w:r>
    </w:p>
    <w:p>
      <w:pPr>
        <w:pStyle w:val="Normal"/>
        <w:jc w:val="both"/>
        <w:rPr>
          <w:sz w:val="28"/>
          <w:szCs w:val="28"/>
        </w:rPr>
      </w:pPr>
      <w:r>
        <w:rPr>
          <w:sz w:val="28"/>
          <w:szCs w:val="28"/>
        </w:rPr>
        <w:t>Fernando Barrios, “Asistencia mutua entre Administraciones tributarias, Revista Tributaria 248, pg. 533.</w:t>
      </w:r>
    </w:p>
    <w:p>
      <w:pPr>
        <w:pStyle w:val="Normal"/>
        <w:jc w:val="both"/>
        <w:rPr>
          <w:sz w:val="28"/>
          <w:szCs w:val="28"/>
        </w:rPr>
      </w:pPr>
      <w:r>
        <w:rPr>
          <w:sz w:val="28"/>
          <w:szCs w:val="28"/>
        </w:rPr>
        <w:t>Carolina Costas, Héctor López González y Carolina Zitto, “Presente y perspectivas de la prueba en los precios de transferencia y el secreto tributario, Revista Tributaria Nº 255, pg. 873.</w:t>
      </w:r>
    </w:p>
    <w:p>
      <w:pPr>
        <w:pStyle w:val="Normal"/>
        <w:jc w:val="both"/>
        <w:rPr>
          <w:sz w:val="28"/>
          <w:szCs w:val="28"/>
        </w:rPr>
      </w:pPr>
      <w:r>
        <w:rPr>
          <w:sz w:val="28"/>
          <w:szCs w:val="28"/>
        </w:rPr>
        <w:t>Andrés Blanco, “Soberanía fiscal y el plan BEPS (Base Erosion and Profit Shifting) de OCDE: un problema de legitimidad”, Revista Tributaria Nº 253, pg. 529.</w:t>
      </w:r>
    </w:p>
    <w:p>
      <w:pPr>
        <w:pStyle w:val="Normal"/>
        <w:jc w:val="both"/>
        <w:rPr>
          <w:sz w:val="28"/>
          <w:szCs w:val="28"/>
        </w:rPr>
      </w:pPr>
      <w:r>
        <w:rPr>
          <w:sz w:val="28"/>
          <w:szCs w:val="28"/>
        </w:rPr>
        <w:t>.Juan Bonet e Ignacio Pérez, “El concepto fiscal de beneficiario efectivo desde una perspectiva latinoamericana”, Revista Tributaria Nº 251, pg. 173.</w:t>
      </w:r>
    </w:p>
    <w:p>
      <w:pPr>
        <w:pStyle w:val="Normal"/>
        <w:jc w:val="both"/>
        <w:rPr>
          <w:sz w:val="28"/>
          <w:szCs w:val="28"/>
        </w:rPr>
      </w:pPr>
      <w:r>
        <w:rPr>
          <w:sz w:val="28"/>
          <w:szCs w:val="28"/>
        </w:rPr>
        <w:t>Juan Bonet, “La evolución de la planificación fiscal en la fiscalidad internacional actual. Reacciones y el análisis de las medidas antiabuso en los CDIS”, Revista Tributaria Nº 242, pg. 793.</w:t>
      </w:r>
    </w:p>
    <w:p>
      <w:pPr>
        <w:pStyle w:val="Normal"/>
        <w:jc w:val="both"/>
        <w:rPr>
          <w:sz w:val="28"/>
          <w:szCs w:val="28"/>
        </w:rPr>
      </w:pPr>
      <w:r>
        <w:rPr>
          <w:sz w:val="28"/>
          <w:szCs w:val="28"/>
        </w:rPr>
        <w:t>Natalia Acosta, Leonardo Bruzzone y Guillermo Nieves, “El abuso de convenios: modalidades y forma de evitarlo desde la perspectiva uruguaya”, Revista Tributaria Nº 245, pg. 197.</w:t>
      </w:r>
    </w:p>
    <w:p>
      <w:pPr>
        <w:pStyle w:val="Normal"/>
        <w:jc w:val="both"/>
        <w:rPr>
          <w:sz w:val="28"/>
          <w:szCs w:val="28"/>
        </w:rPr>
      </w:pPr>
      <w:r>
        <w:rPr>
          <w:sz w:val="28"/>
          <w:szCs w:val="28"/>
        </w:rPr>
        <w:t xml:space="preserve">   </w:t>
      </w:r>
    </w:p>
    <w:p>
      <w:pPr>
        <w:pStyle w:val="Normal"/>
        <w:jc w:val="both"/>
        <w:rPr>
          <w:sz w:val="28"/>
          <w:szCs w:val="28"/>
        </w:rPr>
      </w:pPr>
      <w:r>
        <w:rPr>
          <w:sz w:val="28"/>
          <w:szCs w:val="28"/>
        </w:rPr>
        <w:t xml:space="preserve">     </w:t>
      </w:r>
    </w:p>
    <w:p>
      <w:pPr>
        <w:pStyle w:val="Normal"/>
        <w:spacing w:before="0" w:after="200"/>
        <w:jc w:val="both"/>
        <w:rPr/>
      </w:pPr>
      <w:bookmarkStart w:id="0" w:name="_GoBack"/>
      <w:bookmarkEnd w:id="0"/>
      <w:r>
        <w:rPr>
          <w:sz w:val="28"/>
          <w:szCs w:val="28"/>
        </w:rPr>
        <w:t xml:space="preserve">                                                                                           </w:t>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s-UY" w:eastAsia="es-UY"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es-UY" w:eastAsia="es-UY"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ListParagraph">
    <w:name w:val="List Paragraph"/>
    <w:basedOn w:val="Normal"/>
    <w:uiPriority w:val="34"/>
    <w:qFormat/>
    <w:rsid w:val="00401a44"/>
    <w:pPr>
      <w:spacing w:before="0" w:after="20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 LibreOffice_project/8f96e87c890bf8fa77463cd4b640a2312823f3ad</Application>
  <Pages>8</Pages>
  <Words>1148</Words>
  <Characters>6687</Characters>
  <CharactersWithSpaces>7995</CharactersWithSpaces>
  <Paragraphs>109</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2017-06-26T17:37:00Z</dcterms:created>
  <dc:creator>user</dc:creator>
  <dc:description/>
  <dc:language>es-UY</dc:language>
  <cp:lastModifiedBy>user</cp:lastModifiedBy>
  <cp:lastPrinted>2017-06-27T11:00:46Z</cp:lastPrinted>
  <dcterms:modified xsi:type="dcterms:W3CDTF">2017-06-26T17:37:00Z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