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7AA" w:rsidRPr="007937DF" w:rsidRDefault="007147AA" w:rsidP="007147A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937DF">
        <w:rPr>
          <w:rFonts w:ascii="Arial" w:hAnsi="Arial" w:cs="Arial"/>
          <w:b/>
          <w:sz w:val="24"/>
          <w:szCs w:val="24"/>
        </w:rPr>
        <w:t>ESPECIALIZACIÓN Y MAESTRÍA, ORIENTACIÓN EN DERECHO COMERCIAL</w:t>
      </w:r>
      <w:r>
        <w:rPr>
          <w:rFonts w:ascii="Arial" w:hAnsi="Arial" w:cs="Arial"/>
          <w:b/>
          <w:sz w:val="24"/>
          <w:szCs w:val="24"/>
        </w:rPr>
        <w:t xml:space="preserve"> NACIONAL E INTERNACIONAL </w:t>
      </w:r>
    </w:p>
    <w:tbl>
      <w:tblPr>
        <w:tblW w:w="78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5"/>
        <w:gridCol w:w="4000"/>
        <w:gridCol w:w="769"/>
        <w:gridCol w:w="1038"/>
      </w:tblGrid>
      <w:tr w:rsidR="007147AA" w:rsidRPr="009C7725" w:rsidTr="00035804">
        <w:trPr>
          <w:trHeight w:val="345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86E" w:rsidRDefault="007147AA" w:rsidP="00B5086E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26"/>
                <w:szCs w:val="26"/>
                <w:lang w:val="es-UY" w:eastAsia="es-UY"/>
              </w:rPr>
            </w:pPr>
            <w:r>
              <w:rPr>
                <w:rFonts w:ascii="Calibri" w:hAnsi="Calibri"/>
                <w:b/>
                <w:color w:val="000000"/>
                <w:sz w:val="26"/>
                <w:szCs w:val="26"/>
                <w:lang w:val="es-UY" w:eastAsia="es-UY"/>
              </w:rPr>
              <w:t>NUEVO P</w:t>
            </w:r>
            <w:r w:rsidRPr="007937DF">
              <w:rPr>
                <w:rFonts w:ascii="Calibri" w:hAnsi="Calibri"/>
                <w:b/>
                <w:color w:val="000000"/>
                <w:sz w:val="26"/>
                <w:szCs w:val="26"/>
                <w:lang w:val="es-UY" w:eastAsia="es-UY"/>
              </w:rPr>
              <w:t>LAN DE ESTUDIOS</w:t>
            </w:r>
            <w:r>
              <w:rPr>
                <w:rFonts w:ascii="Calibri" w:hAnsi="Calibri"/>
                <w:b/>
                <w:color w:val="000000"/>
                <w:sz w:val="26"/>
                <w:szCs w:val="26"/>
                <w:lang w:val="es-UY" w:eastAsia="es-UY"/>
              </w:rPr>
              <w:t xml:space="preserve"> </w:t>
            </w:r>
          </w:p>
          <w:p w:rsidR="00B5086E" w:rsidRDefault="00B5086E" w:rsidP="00B5086E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26"/>
                <w:szCs w:val="26"/>
                <w:lang w:val="es-UY" w:eastAsia="es-UY"/>
              </w:rPr>
            </w:pPr>
          </w:p>
          <w:p w:rsidR="00B5086E" w:rsidRDefault="00B5086E" w:rsidP="00B5086E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26"/>
                <w:szCs w:val="26"/>
                <w:lang w:val="es-UY" w:eastAsia="es-UY"/>
              </w:rPr>
            </w:pPr>
          </w:p>
          <w:p w:rsidR="007147AA" w:rsidRPr="007937DF" w:rsidRDefault="007147AA" w:rsidP="00B5086E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26"/>
                <w:szCs w:val="26"/>
                <w:lang w:val="es-UY" w:eastAsia="es-UY"/>
              </w:rPr>
            </w:pPr>
            <w:r>
              <w:rPr>
                <w:rFonts w:ascii="Calibri" w:hAnsi="Calibri"/>
                <w:b/>
                <w:color w:val="000000"/>
                <w:sz w:val="26"/>
                <w:szCs w:val="26"/>
                <w:lang w:val="es-UY" w:eastAsia="es-UY"/>
              </w:rPr>
              <w:t xml:space="preserve">      </w:t>
            </w:r>
            <w:r w:rsidRPr="007937DF">
              <w:rPr>
                <w:rFonts w:ascii="Calibri" w:hAnsi="Calibri"/>
                <w:b/>
                <w:color w:val="000000"/>
                <w:sz w:val="26"/>
                <w:szCs w:val="26"/>
                <w:lang w:val="es-UY" w:eastAsia="es-UY"/>
              </w:rPr>
              <w:t>ESPECIALIZACIÓN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7147AA" w:rsidRPr="009C7725" w:rsidTr="00035804">
        <w:trPr>
          <w:trHeight w:val="360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7AA" w:rsidRPr="007937DF" w:rsidRDefault="007147AA" w:rsidP="00035804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7147AA" w:rsidRPr="009C7725" w:rsidTr="00035804">
        <w:trPr>
          <w:trHeight w:val="525"/>
        </w:trPr>
        <w:tc>
          <w:tcPr>
            <w:tcW w:w="20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7147AA" w:rsidRPr="009C7725" w:rsidRDefault="007147AA" w:rsidP="000358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s-UY" w:eastAsia="es-UY"/>
              </w:rPr>
            </w:pPr>
            <w:r w:rsidRPr="009C7725"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s-UY" w:eastAsia="es-UY"/>
              </w:rPr>
              <w:t>1º MÓDULO INTRODUCCIÓN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7147AA" w:rsidRPr="009C7725" w:rsidRDefault="007147AA" w:rsidP="000358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s-UY" w:eastAsia="es-UY"/>
              </w:rPr>
            </w:pPr>
            <w:r w:rsidRPr="009C7725"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s-UY" w:eastAsia="es-UY"/>
              </w:rPr>
              <w:t>MATERIAS OBLIGATORIAS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7147AA" w:rsidRPr="009C7725" w:rsidRDefault="007147AA" w:rsidP="000358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s-UY" w:eastAsia="es-UY"/>
              </w:rPr>
            </w:pPr>
            <w:r w:rsidRPr="009C7725"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s-UY" w:eastAsia="es-UY"/>
              </w:rPr>
              <w:t>Horas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7147AA" w:rsidRPr="009C7725" w:rsidRDefault="007147AA" w:rsidP="000358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s-UY" w:eastAsia="es-UY"/>
              </w:rPr>
            </w:pPr>
            <w:r w:rsidRPr="009C7725"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s-UY" w:eastAsia="es-UY"/>
              </w:rPr>
              <w:t>Créditos</w:t>
            </w:r>
          </w:p>
        </w:tc>
      </w:tr>
      <w:tr w:rsidR="007147AA" w:rsidRPr="009C7725" w:rsidTr="00035804">
        <w:trPr>
          <w:trHeight w:val="720"/>
        </w:trPr>
        <w:tc>
          <w:tcPr>
            <w:tcW w:w="20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val="es-UY" w:eastAsia="es-UY"/>
              </w:rPr>
            </w:pPr>
            <w:r w:rsidRPr="009C7725">
              <w:rPr>
                <w:rFonts w:ascii="Calibri" w:hAnsi="Calibri"/>
                <w:color w:val="000000"/>
                <w:sz w:val="24"/>
                <w:szCs w:val="24"/>
                <w:lang w:val="es-UY" w:eastAsia="es-UY"/>
              </w:rPr>
              <w:t>Solución de controversias. Mediación, conciliación y arbitraje.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 w:rsidRPr="009C7725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  <w:t>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  <w:t>3</w:t>
            </w:r>
          </w:p>
        </w:tc>
      </w:tr>
      <w:tr w:rsidR="007147AA" w:rsidRPr="009C7725" w:rsidTr="00035804">
        <w:trPr>
          <w:trHeight w:val="330"/>
        </w:trPr>
        <w:tc>
          <w:tcPr>
            <w:tcW w:w="20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val="es-UY" w:eastAsia="es-UY"/>
              </w:rPr>
            </w:pPr>
            <w:r w:rsidRPr="009C7725">
              <w:rPr>
                <w:rFonts w:ascii="Calibri" w:hAnsi="Calibri"/>
                <w:color w:val="000000"/>
                <w:sz w:val="24"/>
                <w:szCs w:val="24"/>
                <w:lang w:val="es-UY" w:eastAsia="es-UY"/>
              </w:rPr>
              <w:t>Derecho y Economía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 w:rsidRPr="009C7725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  <w:t>20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 w:rsidRPr="009C7725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  <w:t>3</w:t>
            </w:r>
          </w:p>
        </w:tc>
      </w:tr>
      <w:tr w:rsidR="007147AA" w:rsidRPr="009C7725" w:rsidTr="00035804">
        <w:trPr>
          <w:trHeight w:val="330"/>
        </w:trPr>
        <w:tc>
          <w:tcPr>
            <w:tcW w:w="20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val="es-UY" w:eastAsia="es-UY"/>
              </w:rPr>
            </w:pPr>
            <w:r w:rsidRPr="009C7725">
              <w:rPr>
                <w:rFonts w:ascii="Calibri" w:hAnsi="Calibri"/>
                <w:color w:val="000000"/>
                <w:sz w:val="24"/>
                <w:szCs w:val="24"/>
                <w:lang w:val="es-UY" w:eastAsia="es-UY"/>
              </w:rPr>
              <w:t>Documentación y contabilidad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 w:rsidRPr="009C7725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  <w:t>20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 w:rsidRPr="009C7725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  <w:t>3</w:t>
            </w:r>
          </w:p>
        </w:tc>
      </w:tr>
      <w:tr w:rsidR="007147AA" w:rsidRPr="009C7725" w:rsidTr="00035804">
        <w:trPr>
          <w:trHeight w:val="330"/>
        </w:trPr>
        <w:tc>
          <w:tcPr>
            <w:tcW w:w="20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val="es-UY" w:eastAsia="es-UY"/>
              </w:rPr>
            </w:pPr>
            <w:r w:rsidRPr="009C7725">
              <w:rPr>
                <w:rFonts w:ascii="Calibri" w:hAnsi="Calibri"/>
                <w:color w:val="000000"/>
                <w:sz w:val="24"/>
                <w:szCs w:val="24"/>
                <w:lang w:val="es-UY" w:eastAsia="es-UY"/>
              </w:rPr>
              <w:t>Metodología de la investigación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 w:rsidRPr="009C7725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  <w:t>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 w:rsidRPr="009C7725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  <w:t>3</w:t>
            </w:r>
          </w:p>
        </w:tc>
      </w:tr>
      <w:tr w:rsidR="007147AA" w:rsidRPr="009C7725" w:rsidTr="00035804">
        <w:trPr>
          <w:trHeight w:val="360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val="es-UY" w:eastAsia="es-UY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</w:pPr>
          </w:p>
        </w:tc>
      </w:tr>
      <w:tr w:rsidR="007147AA" w:rsidRPr="009C7725" w:rsidTr="00035804">
        <w:trPr>
          <w:trHeight w:val="645"/>
        </w:trPr>
        <w:tc>
          <w:tcPr>
            <w:tcW w:w="20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7147AA" w:rsidRPr="009C7725" w:rsidRDefault="007147AA" w:rsidP="000358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s-UY" w:eastAsia="es-UY"/>
              </w:rPr>
            </w:pPr>
            <w:r w:rsidRPr="009C7725"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s-UY" w:eastAsia="es-UY"/>
              </w:rPr>
              <w:t>2º MÓDULO UBICACIÓN Y ESTUDIO DEL EMPRESARIO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val="es-UY" w:eastAsia="es-UY"/>
              </w:rPr>
            </w:pPr>
            <w:r w:rsidRPr="009C7725">
              <w:rPr>
                <w:rFonts w:ascii="Calibri" w:hAnsi="Calibri"/>
                <w:color w:val="000000"/>
                <w:sz w:val="24"/>
                <w:szCs w:val="24"/>
                <w:lang w:val="es-UY" w:eastAsia="es-UY"/>
              </w:rPr>
              <w:t>Inserción comercial del Uruguay. OMC, MERCOSUR, acuerdos bilaterales, TLC.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 w:rsidRPr="009C7725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  <w:t>30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  <w:t>5</w:t>
            </w:r>
          </w:p>
        </w:tc>
      </w:tr>
      <w:tr w:rsidR="007147AA" w:rsidRPr="009C7725" w:rsidTr="00035804">
        <w:trPr>
          <w:trHeight w:val="960"/>
        </w:trPr>
        <w:tc>
          <w:tcPr>
            <w:tcW w:w="20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val="es-UY" w:eastAsia="es-UY"/>
              </w:rPr>
            </w:pPr>
            <w:r w:rsidRPr="009C7725">
              <w:rPr>
                <w:rFonts w:ascii="Calibri" w:hAnsi="Calibri"/>
                <w:color w:val="000000"/>
                <w:sz w:val="24"/>
                <w:szCs w:val="24"/>
                <w:lang w:val="es-UY" w:eastAsia="es-UY"/>
              </w:rPr>
              <w:t>Empresario societario, peculiaridades de las PYMES. Aspectos contables y tributarios. Finanzas de las sociedades.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7AA" w:rsidRPr="009C7725" w:rsidRDefault="007147AA" w:rsidP="000358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 w:rsidRPr="009C7725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  <w:t>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7AA" w:rsidRPr="009C7725" w:rsidRDefault="007147AA" w:rsidP="000358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  <w:t>5</w:t>
            </w:r>
          </w:p>
        </w:tc>
      </w:tr>
      <w:tr w:rsidR="007147AA" w:rsidRPr="009C7725" w:rsidTr="00035804">
        <w:trPr>
          <w:trHeight w:val="645"/>
        </w:trPr>
        <w:tc>
          <w:tcPr>
            <w:tcW w:w="20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val="es-UY" w:eastAsia="es-UY"/>
              </w:rPr>
            </w:pPr>
            <w:r w:rsidRPr="009C7725">
              <w:rPr>
                <w:rFonts w:ascii="Calibri" w:hAnsi="Calibri"/>
                <w:color w:val="000000"/>
                <w:sz w:val="24"/>
                <w:szCs w:val="24"/>
                <w:lang w:val="es-UY" w:eastAsia="es-UY"/>
              </w:rPr>
              <w:t>Sociedades anónimas. Organización interna y funcionamiento.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 w:rsidRPr="009C7725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  <w:t>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  <w:t>6</w:t>
            </w:r>
          </w:p>
        </w:tc>
      </w:tr>
      <w:tr w:rsidR="007147AA" w:rsidRPr="009C7725" w:rsidTr="00035804">
        <w:trPr>
          <w:trHeight w:val="1590"/>
        </w:trPr>
        <w:tc>
          <w:tcPr>
            <w:tcW w:w="20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val="es-UY" w:eastAsia="es-UY"/>
              </w:rPr>
            </w:pPr>
            <w:r w:rsidRPr="009C7725">
              <w:rPr>
                <w:rFonts w:ascii="Calibri" w:hAnsi="Calibri"/>
                <w:color w:val="000000"/>
                <w:sz w:val="24"/>
                <w:szCs w:val="24"/>
                <w:lang w:val="es-UY" w:eastAsia="es-UY"/>
              </w:rPr>
              <w:t xml:space="preserve">La reorganización de la estructura empresarial. Transformación, fusión, escisión. Control. Transferencia del control. Grupos de sociedades.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 w:rsidRPr="009C7725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  <w:t>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 w:rsidRPr="009C7725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  <w:t>5</w:t>
            </w:r>
          </w:p>
        </w:tc>
      </w:tr>
      <w:tr w:rsidR="007147AA" w:rsidRPr="009C7725" w:rsidTr="00035804">
        <w:trPr>
          <w:trHeight w:val="330"/>
        </w:trPr>
        <w:tc>
          <w:tcPr>
            <w:tcW w:w="20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val="es-UY" w:eastAsia="es-UY"/>
              </w:rPr>
            </w:pPr>
            <w:r w:rsidRPr="009C7725">
              <w:rPr>
                <w:rFonts w:ascii="Calibri" w:hAnsi="Calibri"/>
                <w:color w:val="000000"/>
                <w:sz w:val="24"/>
                <w:szCs w:val="24"/>
                <w:lang w:val="es-UY" w:eastAsia="es-UY"/>
              </w:rPr>
              <w:t>Taller de jurisprudencia.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 w:rsidRPr="009C7725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  <w:t>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 w:rsidRPr="009C7725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  <w:t>5</w:t>
            </w:r>
          </w:p>
        </w:tc>
      </w:tr>
      <w:tr w:rsidR="007147AA" w:rsidRPr="009C7725" w:rsidTr="00035804">
        <w:trPr>
          <w:trHeight w:val="360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7147AA" w:rsidRPr="009C7725" w:rsidTr="00035804">
        <w:trPr>
          <w:trHeight w:val="645"/>
        </w:trPr>
        <w:tc>
          <w:tcPr>
            <w:tcW w:w="20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7147AA" w:rsidRPr="009C7725" w:rsidRDefault="007147AA" w:rsidP="000358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s-UY" w:eastAsia="es-UY"/>
              </w:rPr>
            </w:pPr>
            <w:r w:rsidRPr="009C7725"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s-UY" w:eastAsia="es-UY"/>
              </w:rPr>
              <w:t>3er. MÓDULO EL EMPRESARIO EN SU ACTUACIÓN EXTERNA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val="es-UY" w:eastAsia="es-UY"/>
              </w:rPr>
            </w:pPr>
            <w:r w:rsidRPr="009C7725">
              <w:rPr>
                <w:rFonts w:ascii="Calibri" w:hAnsi="Calibri"/>
                <w:color w:val="000000"/>
                <w:sz w:val="24"/>
                <w:szCs w:val="24"/>
                <w:lang w:val="es-UY" w:eastAsia="es-UY"/>
              </w:rPr>
              <w:t>Competencia entre empresarios.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 w:rsidRPr="009C7725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  <w:t>20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 w:rsidRPr="009C7725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  <w:t>3</w:t>
            </w:r>
          </w:p>
        </w:tc>
      </w:tr>
      <w:tr w:rsidR="007147AA" w:rsidRPr="009C7725" w:rsidTr="00035804">
        <w:trPr>
          <w:trHeight w:val="330"/>
        </w:trPr>
        <w:tc>
          <w:tcPr>
            <w:tcW w:w="20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val="es-UY" w:eastAsia="es-UY"/>
              </w:rPr>
            </w:pPr>
            <w:r w:rsidRPr="009C7725">
              <w:rPr>
                <w:rFonts w:ascii="Calibri" w:hAnsi="Calibri"/>
                <w:color w:val="000000"/>
                <w:sz w:val="24"/>
                <w:szCs w:val="24"/>
                <w:lang w:val="es-UY" w:eastAsia="es-UY"/>
              </w:rPr>
              <w:t>Empresarios y consumidores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 w:rsidRPr="009C7725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  <w:t>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 w:rsidRPr="009C7725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  <w:t>3</w:t>
            </w:r>
          </w:p>
        </w:tc>
      </w:tr>
      <w:tr w:rsidR="007147AA" w:rsidRPr="009C7725" w:rsidTr="00035804">
        <w:trPr>
          <w:trHeight w:val="645"/>
        </w:trPr>
        <w:tc>
          <w:tcPr>
            <w:tcW w:w="20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val="es-UY" w:eastAsia="es-UY"/>
              </w:rPr>
            </w:pPr>
            <w:r w:rsidRPr="009C7725">
              <w:rPr>
                <w:rFonts w:ascii="Calibri" w:hAnsi="Calibri"/>
                <w:color w:val="000000"/>
                <w:sz w:val="24"/>
                <w:szCs w:val="24"/>
                <w:lang w:val="es-UY" w:eastAsia="es-UY"/>
              </w:rPr>
              <w:t>Propiedad inte</w:t>
            </w:r>
            <w:r>
              <w:rPr>
                <w:rFonts w:ascii="Calibri" w:hAnsi="Calibri"/>
                <w:color w:val="000000"/>
                <w:sz w:val="24"/>
                <w:szCs w:val="24"/>
                <w:lang w:val="es-UY" w:eastAsia="es-UY"/>
              </w:rPr>
              <w:t>lectual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 w:rsidRPr="009C7725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  <w:t>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 w:rsidRPr="009C7725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  <w:t>5</w:t>
            </w:r>
          </w:p>
        </w:tc>
      </w:tr>
      <w:tr w:rsidR="007147AA" w:rsidRPr="009C7725" w:rsidTr="00035804">
        <w:trPr>
          <w:trHeight w:val="1275"/>
        </w:trPr>
        <w:tc>
          <w:tcPr>
            <w:tcW w:w="20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val="es-UY" w:eastAsia="es-UY"/>
              </w:rPr>
            </w:pPr>
            <w:r w:rsidRPr="009C7725">
              <w:rPr>
                <w:rFonts w:ascii="Calibri" w:hAnsi="Calibri"/>
                <w:color w:val="000000"/>
                <w:sz w:val="24"/>
                <w:szCs w:val="24"/>
                <w:lang w:val="es-UY" w:eastAsia="es-UY"/>
              </w:rPr>
              <w:t xml:space="preserve">La contratación del empresario mercantil en la actualidad y tendencias.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 w:rsidRPr="009C7725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  <w:t>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 w:rsidRPr="009C7725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  <w:t>5</w:t>
            </w:r>
          </w:p>
        </w:tc>
      </w:tr>
      <w:tr w:rsidR="007147AA" w:rsidRPr="009C7725" w:rsidTr="00035804">
        <w:trPr>
          <w:trHeight w:val="960"/>
        </w:trPr>
        <w:tc>
          <w:tcPr>
            <w:tcW w:w="20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val="es-UY" w:eastAsia="es-UY"/>
              </w:rPr>
            </w:pPr>
            <w:r w:rsidRPr="009C7725">
              <w:rPr>
                <w:rFonts w:ascii="Calibri" w:hAnsi="Calibri"/>
                <w:color w:val="000000"/>
                <w:sz w:val="24"/>
                <w:szCs w:val="24"/>
                <w:lang w:val="es-UY" w:eastAsia="es-UY"/>
              </w:rPr>
              <w:t xml:space="preserve">Funcionamiento, tendencias y negocios financieros.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 w:rsidRPr="009C7725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  <w:t>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  <w:t>6</w:t>
            </w:r>
          </w:p>
        </w:tc>
      </w:tr>
      <w:tr w:rsidR="007147AA" w:rsidRPr="009C7725" w:rsidTr="00035804">
        <w:trPr>
          <w:trHeight w:val="360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val="es-UY" w:eastAsia="es-UY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</w:pPr>
          </w:p>
        </w:tc>
      </w:tr>
      <w:tr w:rsidR="007147AA" w:rsidRPr="009C7725" w:rsidTr="00035804">
        <w:trPr>
          <w:trHeight w:val="645"/>
        </w:trPr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7147AA" w:rsidRPr="009C7725" w:rsidRDefault="007147AA" w:rsidP="000358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s-UY" w:eastAsia="es-UY"/>
              </w:rPr>
            </w:pPr>
            <w:r w:rsidRPr="009C7725"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s-UY" w:eastAsia="es-UY"/>
              </w:rPr>
              <w:t>EN CADA SEMESTRE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val="es-UY" w:eastAsia="es-UY"/>
              </w:rPr>
            </w:pPr>
            <w:r w:rsidRPr="009C7725">
              <w:rPr>
                <w:rFonts w:ascii="Calibri" w:hAnsi="Calibri"/>
                <w:color w:val="000000"/>
                <w:sz w:val="24"/>
                <w:szCs w:val="24"/>
                <w:lang w:val="es-UY" w:eastAsia="es-UY"/>
              </w:rPr>
              <w:t xml:space="preserve">1 materia opcional por semestre </w:t>
            </w:r>
            <w:r>
              <w:rPr>
                <w:rFonts w:ascii="Calibri" w:hAnsi="Calibri"/>
                <w:color w:val="000000"/>
                <w:sz w:val="24"/>
                <w:szCs w:val="24"/>
                <w:lang w:val="es-UY" w:eastAsia="es-UY"/>
              </w:rPr>
              <w:t>que permita completar en total 6</w:t>
            </w:r>
            <w:r w:rsidRPr="009C7725">
              <w:rPr>
                <w:rFonts w:ascii="Calibri" w:hAnsi="Calibri"/>
                <w:color w:val="000000"/>
                <w:sz w:val="24"/>
                <w:szCs w:val="24"/>
                <w:lang w:val="es-UY" w:eastAsia="es-UY"/>
              </w:rPr>
              <w:t xml:space="preserve"> créditos.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  <w:t>40</w:t>
            </w:r>
            <w:r w:rsidRPr="009C7725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  <w:t> 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  <w:t>6</w:t>
            </w:r>
          </w:p>
        </w:tc>
      </w:tr>
      <w:tr w:rsidR="007147AA" w:rsidRPr="009C7725" w:rsidTr="00035804">
        <w:trPr>
          <w:trHeight w:val="360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val="es-UY" w:eastAsia="es-UY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</w:pPr>
          </w:p>
        </w:tc>
      </w:tr>
      <w:tr w:rsidR="007147AA" w:rsidRPr="009C7725" w:rsidTr="00035804">
        <w:trPr>
          <w:trHeight w:val="360"/>
        </w:trPr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7147AA" w:rsidRPr="009C7725" w:rsidRDefault="007147AA" w:rsidP="000358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s-UY" w:eastAsia="es-UY"/>
              </w:rPr>
            </w:pPr>
            <w:r w:rsidRPr="009C7725"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s-UY" w:eastAsia="es-UY"/>
              </w:rPr>
              <w:t>MONOGRAFÍAS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val="es-UY" w:eastAsia="es-UY"/>
              </w:rPr>
            </w:pPr>
            <w:r w:rsidRPr="009C7725">
              <w:rPr>
                <w:rFonts w:ascii="Calibri" w:hAnsi="Calibri"/>
                <w:color w:val="000000"/>
                <w:sz w:val="24"/>
                <w:szCs w:val="24"/>
                <w:lang w:val="es-UY" w:eastAsia="es-UY"/>
              </w:rPr>
              <w:t> 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 w:rsidRPr="009C7725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  <w:t> 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 w:rsidRPr="009C7725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  <w:t>7</w:t>
            </w:r>
          </w:p>
        </w:tc>
      </w:tr>
      <w:tr w:rsidR="007147AA" w:rsidRPr="009C7725" w:rsidTr="00035804">
        <w:trPr>
          <w:trHeight w:val="360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val="es-UY" w:eastAsia="es-UY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</w:pPr>
          </w:p>
        </w:tc>
      </w:tr>
      <w:tr w:rsidR="007147AA" w:rsidRPr="009C7725" w:rsidTr="00035804">
        <w:trPr>
          <w:trHeight w:val="900"/>
        </w:trPr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7147AA" w:rsidRPr="009C7725" w:rsidRDefault="007147AA" w:rsidP="000358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s-UY" w:eastAsia="es-UY"/>
              </w:rPr>
            </w:pPr>
            <w:r w:rsidRPr="009C7725"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s-UY" w:eastAsia="es-UY"/>
              </w:rPr>
              <w:t>TOTAL CRÉDITOS ESPECIALIZACIÓN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val="es-UY" w:eastAsia="es-UY"/>
              </w:rPr>
            </w:pPr>
            <w:r w:rsidRPr="009C7725">
              <w:rPr>
                <w:rFonts w:ascii="Calibri" w:hAnsi="Calibri"/>
                <w:color w:val="000000"/>
                <w:sz w:val="24"/>
                <w:szCs w:val="24"/>
                <w:lang w:val="es-UY" w:eastAsia="es-UY"/>
              </w:rPr>
              <w:t> 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 w:rsidRPr="009C7725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  <w:t> 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  <w:t>72</w:t>
            </w:r>
          </w:p>
        </w:tc>
      </w:tr>
      <w:tr w:rsidR="007147AA" w:rsidRPr="009C7725" w:rsidTr="00035804">
        <w:trPr>
          <w:trHeight w:val="330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7147AA" w:rsidRPr="009C7725" w:rsidTr="00035804">
        <w:trPr>
          <w:trHeight w:val="330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7147AA" w:rsidRPr="009C7725" w:rsidTr="00035804">
        <w:trPr>
          <w:trHeight w:val="330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7AA" w:rsidRPr="007937DF" w:rsidRDefault="007147AA" w:rsidP="00035804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26"/>
                <w:szCs w:val="26"/>
                <w:lang w:val="es-UY" w:eastAsia="es-UY"/>
              </w:rPr>
            </w:pPr>
            <w:r w:rsidRPr="007937DF">
              <w:rPr>
                <w:rFonts w:ascii="Calibri" w:hAnsi="Calibri"/>
                <w:b/>
                <w:color w:val="000000"/>
                <w:sz w:val="26"/>
                <w:szCs w:val="26"/>
                <w:lang w:val="es-UY" w:eastAsia="es-UY"/>
              </w:rPr>
              <w:t>PLAN DE ESTUDIOS 2017  MAESTRÍA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7147AA" w:rsidRPr="009C7725" w:rsidTr="00035804">
        <w:trPr>
          <w:trHeight w:val="360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7147AA" w:rsidRPr="009C7725" w:rsidTr="00035804">
        <w:trPr>
          <w:trHeight w:val="1590"/>
        </w:trPr>
        <w:tc>
          <w:tcPr>
            <w:tcW w:w="20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7147AA" w:rsidRPr="009C7725" w:rsidRDefault="007147AA" w:rsidP="000358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s-UY" w:eastAsia="es-UY"/>
              </w:rPr>
            </w:pPr>
            <w:r w:rsidRPr="009C7725"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s-UY" w:eastAsia="es-UY"/>
              </w:rPr>
              <w:t>4º MÓDULO PROBLEMAS Y SOLUCIONES ANTE EL FRAUDE Y EN EL DERECHO DE TITULOS VALORES Y CONCURSOS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val="es-UY" w:eastAsia="es-UY"/>
              </w:rPr>
            </w:pPr>
            <w:r w:rsidRPr="009C7725">
              <w:rPr>
                <w:rFonts w:ascii="Calibri" w:hAnsi="Calibri"/>
                <w:color w:val="000000"/>
                <w:sz w:val="24"/>
                <w:szCs w:val="24"/>
                <w:lang w:val="es-UY" w:eastAsia="es-UY"/>
              </w:rPr>
              <w:t xml:space="preserve">Disfunciones en el cumplimiento de las obligaciones emergentes de los títulos valores. El régimen de valores escriturales. 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 w:rsidRPr="009C7725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  <w:t>40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  <w:t>6</w:t>
            </w:r>
          </w:p>
        </w:tc>
      </w:tr>
      <w:tr w:rsidR="007147AA" w:rsidRPr="009C7725" w:rsidTr="00035804">
        <w:trPr>
          <w:trHeight w:val="960"/>
        </w:trPr>
        <w:tc>
          <w:tcPr>
            <w:tcW w:w="20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val="es-UY" w:eastAsia="es-UY"/>
              </w:rPr>
            </w:pPr>
            <w:r w:rsidRPr="009C7725">
              <w:rPr>
                <w:rFonts w:ascii="Calibri" w:hAnsi="Calibri"/>
                <w:color w:val="000000"/>
                <w:sz w:val="24"/>
                <w:szCs w:val="24"/>
                <w:lang w:val="es-UY" w:eastAsia="es-UY"/>
              </w:rPr>
              <w:t xml:space="preserve">Remedios legales ante negocios fraudulentos.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 w:rsidRPr="009C7725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  <w:t>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  <w:t>6</w:t>
            </w:r>
          </w:p>
        </w:tc>
      </w:tr>
      <w:tr w:rsidR="007147AA" w:rsidRPr="009C7725" w:rsidTr="00035804">
        <w:trPr>
          <w:trHeight w:val="645"/>
        </w:trPr>
        <w:tc>
          <w:tcPr>
            <w:tcW w:w="20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val="es-UY" w:eastAsia="es-UY"/>
              </w:rPr>
            </w:pPr>
            <w:r w:rsidRPr="009C7725">
              <w:rPr>
                <w:rFonts w:ascii="Calibri" w:hAnsi="Calibri"/>
                <w:color w:val="000000"/>
                <w:sz w:val="24"/>
                <w:szCs w:val="24"/>
                <w:lang w:val="es-UY" w:eastAsia="es-UY"/>
              </w:rPr>
              <w:t>Problemas prácticos en los institutos del Derecho Concursal.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 w:rsidRPr="009C7725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  <w:t>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  <w:t>6</w:t>
            </w:r>
          </w:p>
        </w:tc>
      </w:tr>
      <w:tr w:rsidR="007147AA" w:rsidRPr="009C7725" w:rsidTr="00035804">
        <w:trPr>
          <w:trHeight w:val="645"/>
        </w:trPr>
        <w:tc>
          <w:tcPr>
            <w:tcW w:w="20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val="es-UY" w:eastAsia="es-UY"/>
              </w:rPr>
            </w:pPr>
            <w:r w:rsidRPr="009C7725">
              <w:rPr>
                <w:rFonts w:ascii="Calibri" w:hAnsi="Calibri"/>
                <w:color w:val="000000"/>
                <w:sz w:val="24"/>
                <w:szCs w:val="24"/>
                <w:lang w:val="es-UY" w:eastAsia="es-UY"/>
              </w:rPr>
              <w:t>Taller de jurisprudencia sobre módulos objeto de la maestría.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 w:rsidRPr="009C7725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  <w:t>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  <w:t>6</w:t>
            </w:r>
          </w:p>
        </w:tc>
      </w:tr>
      <w:tr w:rsidR="007147AA" w:rsidRPr="009C7725" w:rsidTr="00035804">
        <w:trPr>
          <w:trHeight w:val="330"/>
        </w:trPr>
        <w:tc>
          <w:tcPr>
            <w:tcW w:w="20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val="es-UY" w:eastAsia="es-UY"/>
              </w:rPr>
            </w:pPr>
            <w:r w:rsidRPr="009C7725">
              <w:rPr>
                <w:rFonts w:ascii="Calibri" w:hAnsi="Calibri"/>
                <w:color w:val="000000"/>
                <w:sz w:val="24"/>
                <w:szCs w:val="24"/>
                <w:lang w:val="es-UY" w:eastAsia="es-UY"/>
              </w:rPr>
              <w:t>Seminario de tesis.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 w:rsidRPr="009C7725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  <w:t>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 w:rsidRPr="009C7725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  <w:t>3</w:t>
            </w:r>
          </w:p>
        </w:tc>
      </w:tr>
      <w:tr w:rsidR="007147AA" w:rsidRPr="009C7725" w:rsidTr="00035804">
        <w:trPr>
          <w:trHeight w:val="360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7147AA" w:rsidRPr="009C7725" w:rsidTr="00035804">
        <w:trPr>
          <w:trHeight w:val="1395"/>
        </w:trPr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7147AA" w:rsidRPr="009C7725" w:rsidRDefault="007147AA" w:rsidP="000358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s-UY" w:eastAsia="es-UY"/>
              </w:rPr>
            </w:pPr>
            <w:r w:rsidRPr="009C7725"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s-UY" w:eastAsia="es-UY"/>
              </w:rPr>
              <w:t>TOTAL HORAS PRESENCIALES EN MATERIAS OBLIGATORIAS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val="es-UY" w:eastAsia="es-UY"/>
              </w:rPr>
            </w:pPr>
            <w:r w:rsidRPr="009C7725">
              <w:rPr>
                <w:rFonts w:ascii="Calibri" w:hAnsi="Calibri"/>
                <w:color w:val="000000"/>
                <w:sz w:val="24"/>
                <w:szCs w:val="24"/>
                <w:lang w:val="es-UY" w:eastAsia="es-UY"/>
              </w:rPr>
              <w:t> 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 w:rsidRPr="009C7725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  <w:t>560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  <w:t>104</w:t>
            </w:r>
          </w:p>
        </w:tc>
      </w:tr>
      <w:tr w:rsidR="007147AA" w:rsidRPr="009C7725" w:rsidTr="00035804">
        <w:trPr>
          <w:trHeight w:val="360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7147AA" w:rsidRPr="009C7725" w:rsidTr="00035804">
        <w:trPr>
          <w:trHeight w:val="645"/>
        </w:trPr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7147AA" w:rsidRPr="009C7725" w:rsidRDefault="007147AA" w:rsidP="000358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s-UY" w:eastAsia="es-UY"/>
              </w:rPr>
            </w:pPr>
            <w:r w:rsidRPr="009C7725"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s-UY" w:eastAsia="es-UY"/>
              </w:rPr>
              <w:t>EN CADA SEMESTRE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val="es-UY" w:eastAsia="es-UY"/>
              </w:rPr>
            </w:pPr>
            <w:r w:rsidRPr="009C7725">
              <w:rPr>
                <w:rFonts w:ascii="Calibri" w:hAnsi="Calibri"/>
                <w:color w:val="000000"/>
                <w:sz w:val="24"/>
                <w:szCs w:val="24"/>
                <w:lang w:val="es-UY" w:eastAsia="es-UY"/>
              </w:rPr>
              <w:t xml:space="preserve">1 materia opcional por semestre </w:t>
            </w:r>
            <w:r>
              <w:rPr>
                <w:rFonts w:ascii="Calibri" w:hAnsi="Calibri"/>
                <w:color w:val="000000"/>
                <w:sz w:val="24"/>
                <w:szCs w:val="24"/>
                <w:lang w:val="es-UY" w:eastAsia="es-UY"/>
              </w:rPr>
              <w:t>que permita completar en total 6</w:t>
            </w:r>
            <w:r w:rsidRPr="009C7725">
              <w:rPr>
                <w:rFonts w:ascii="Calibri" w:hAnsi="Calibri"/>
                <w:color w:val="000000"/>
                <w:sz w:val="24"/>
                <w:szCs w:val="24"/>
                <w:lang w:val="es-UY" w:eastAsia="es-UY"/>
              </w:rPr>
              <w:t xml:space="preserve"> créditos.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  <w:t>40</w:t>
            </w:r>
            <w:r w:rsidRPr="009C7725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  <w:t> 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  <w:t>6</w:t>
            </w:r>
          </w:p>
        </w:tc>
      </w:tr>
      <w:tr w:rsidR="007147AA" w:rsidRPr="009C7725" w:rsidTr="00035804">
        <w:trPr>
          <w:trHeight w:val="360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AA" w:rsidRDefault="007147AA" w:rsidP="00035804">
            <w:pPr>
              <w:suppressAutoHyphens w:val="0"/>
              <w:rPr>
                <w:rFonts w:ascii="Calibri" w:hAnsi="Calibri"/>
                <w:color w:val="000000"/>
                <w:sz w:val="26"/>
                <w:szCs w:val="26"/>
                <w:lang w:val="es-UY" w:eastAsia="es-UY"/>
              </w:rPr>
            </w:pPr>
          </w:p>
          <w:p w:rsidR="007147AA" w:rsidRPr="009C7725" w:rsidRDefault="007147AA" w:rsidP="00035804">
            <w:pPr>
              <w:suppressAutoHyphens w:val="0"/>
              <w:rPr>
                <w:rFonts w:ascii="Calibri" w:hAnsi="Calibri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7147AA" w:rsidRPr="009C7725" w:rsidTr="00035804">
        <w:trPr>
          <w:trHeight w:val="360"/>
        </w:trPr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7147AA" w:rsidRPr="009C7725" w:rsidRDefault="007147AA" w:rsidP="000358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s-UY" w:eastAsia="es-UY"/>
              </w:rPr>
            </w:pPr>
            <w:r w:rsidRPr="009C7725"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s-UY" w:eastAsia="es-UY"/>
              </w:rPr>
              <w:t>TESIS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val="es-UY" w:eastAsia="es-UY"/>
              </w:rPr>
            </w:pPr>
            <w:r w:rsidRPr="009C7725">
              <w:rPr>
                <w:rFonts w:ascii="Calibri" w:hAnsi="Calibri"/>
                <w:color w:val="000000"/>
                <w:sz w:val="24"/>
                <w:szCs w:val="24"/>
                <w:lang w:val="es-UY" w:eastAsia="es-UY"/>
              </w:rPr>
              <w:t> 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 w:rsidRPr="009C7725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  <w:t> 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 w:rsidRPr="009C7725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  <w:t>30</w:t>
            </w:r>
          </w:p>
        </w:tc>
      </w:tr>
      <w:tr w:rsidR="007147AA" w:rsidRPr="009C7725" w:rsidTr="00035804">
        <w:trPr>
          <w:trHeight w:val="360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7147AA" w:rsidRPr="009C7725" w:rsidTr="00035804">
        <w:trPr>
          <w:trHeight w:val="705"/>
        </w:trPr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7147AA" w:rsidRPr="009C7725" w:rsidRDefault="007147AA" w:rsidP="000358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s-UY" w:eastAsia="es-UY"/>
              </w:rPr>
            </w:pPr>
            <w:r w:rsidRPr="009C7725"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s-UY" w:eastAsia="es-UY"/>
              </w:rPr>
              <w:lastRenderedPageBreak/>
              <w:t>TOTAL CRS. MAESTRIA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rPr>
                <w:rFonts w:ascii="Calibri" w:hAnsi="Calibri"/>
                <w:color w:val="000000"/>
                <w:sz w:val="24"/>
                <w:szCs w:val="24"/>
                <w:lang w:val="es-UY" w:eastAsia="es-UY"/>
              </w:rPr>
            </w:pPr>
            <w:r w:rsidRPr="009C7725">
              <w:rPr>
                <w:rFonts w:ascii="Calibri" w:hAnsi="Calibri"/>
                <w:color w:val="000000"/>
                <w:sz w:val="24"/>
                <w:szCs w:val="24"/>
                <w:lang w:val="es-UY" w:eastAsia="es-UY"/>
              </w:rPr>
              <w:t> 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 w:rsidRPr="009C7725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  <w:t> 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7AA" w:rsidRPr="009C7725" w:rsidRDefault="007147AA" w:rsidP="0003580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UY" w:eastAsia="es-UY"/>
              </w:rPr>
              <w:t>144</w:t>
            </w:r>
          </w:p>
        </w:tc>
      </w:tr>
    </w:tbl>
    <w:p w:rsidR="007147AA" w:rsidRDefault="007147AA" w:rsidP="007147AA">
      <w:pPr>
        <w:suppressAutoHyphens w:val="0"/>
        <w:spacing w:after="160" w:line="259" w:lineRule="auto"/>
        <w:rPr>
          <w:rFonts w:ascii="Arial" w:hAnsi="Arial" w:cs="Arial"/>
          <w:sz w:val="24"/>
          <w:szCs w:val="24"/>
        </w:rPr>
      </w:pPr>
    </w:p>
    <w:p w:rsidR="00B5086E" w:rsidRDefault="00B5086E" w:rsidP="007147AA">
      <w:pPr>
        <w:suppressAutoHyphens w:val="0"/>
        <w:spacing w:after="160" w:line="259" w:lineRule="auto"/>
        <w:rPr>
          <w:rFonts w:ascii="Arial" w:hAnsi="Arial" w:cs="Arial"/>
          <w:sz w:val="24"/>
          <w:szCs w:val="24"/>
        </w:rPr>
      </w:pPr>
    </w:p>
    <w:p w:rsidR="00B5086E" w:rsidRDefault="00B5086E" w:rsidP="007147AA">
      <w:pPr>
        <w:suppressAutoHyphens w:val="0"/>
        <w:spacing w:after="160" w:line="259" w:lineRule="auto"/>
        <w:rPr>
          <w:rFonts w:ascii="Arial" w:hAnsi="Arial" w:cs="Arial"/>
          <w:sz w:val="24"/>
          <w:szCs w:val="24"/>
        </w:rPr>
      </w:pPr>
    </w:p>
    <w:sectPr w:rsidR="00B5086E" w:rsidSect="00631C50">
      <w:pgSz w:w="12240" w:h="15840"/>
      <w:pgMar w:top="1134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AA"/>
    <w:rsid w:val="00156B8E"/>
    <w:rsid w:val="0029161B"/>
    <w:rsid w:val="005A37C0"/>
    <w:rsid w:val="007147AA"/>
    <w:rsid w:val="00783FFA"/>
    <w:rsid w:val="00B5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728F99-434B-4A46-8D21-83DF95CB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eholz</dc:creator>
  <cp:keywords/>
  <dc:description/>
  <cp:lastModifiedBy>eholz</cp:lastModifiedBy>
  <cp:revision>2</cp:revision>
  <dcterms:created xsi:type="dcterms:W3CDTF">2017-11-30T14:04:00Z</dcterms:created>
  <dcterms:modified xsi:type="dcterms:W3CDTF">2017-11-30T14:04:00Z</dcterms:modified>
</cp:coreProperties>
</file>